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162)</w:t>
      </w:r>
    </w:p>
    <w:p>
      <w:pPr>
        <w:spacing w:after="80"/>
      </w:pPr>
      <w:r>
        <w:rPr>
          <w:rFonts w:ascii="Malgun Gothic" w:cs="Malgun Gothic" w:eastAsia="Malgun Gothic" w:hAnsi="Malgun Gothic"/>
          <w:i/>
          <w:iCs/>
          <w:sz w:val="18"/>
          <w:szCs w:val="18"/>
        </w:rPr>
        <w:t xml:space="preserve">The 162 studies are all publications included in the systematic review; not all entered the quantitative synthesis. They are grouped below by how each contributed: 49 were eligible for quantitative synthesis and all provided extractable quantitative data that entered the analysis, and the remaining 113 contributed to the narrative synthesis only (162 = 49 + 113). Study design is classified from the data source; most included studies are population-based registry/incidence studies rather than cohort studies. A PMID (or DOI where no PMID exists) is given for every study so that each of the 162 included studies—including the 113 in the narrative synthesis—can be located individually.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overlap for 8</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13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10 cells; overlap for 6</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(5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7 cells; overlap for 3</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(5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 only (no recoverable NHW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bl>
    <w:p>
      <w:pPr>
        <w:spacing w:after="80"/>
      </w:pPr>
    </w:p>
    <w:p>
      <w:pPr>
        <w:spacing w:after="80"/>
      </w:pPr>
      <w:r>
        <w:rPr>
          <w:rFonts w:ascii="Malgun Gothic" w:cs="Malgun Gothic" w:eastAsia="Malgun Gothic" w:hAnsi="Malgun Gothic"/>
          <w:i/>
          <w:iCs/>
          <w:sz w:val="18"/>
          <w:szCs w:val="18"/>
        </w:rPr>
        <w:t xml:space="preserve">Role in synthesis records, for each study, whether quantitative data were extractable and how the study was used: “Representative for N cell(s)” = supplied the main-analysis benchmark for N analytic cells (group × dimension); “overlap for M” = also contributed M overlapping estimates carried only in the sensitivity re-selection; “Overlap/sensitivity only” = every estimate overlapped a cell already represented by another study; “Narrative only” = met inclusion but reported no recoverable NHW comparison. One representative is selected per analytic cell (selection criteria in Methods and Supplementary Table 4).</w:t>
      </w: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population-based estimate (contemporary benchmark) per registry family per analytic cell for the main analysis — the most recent, broadest-coverage estimate with an appropriate population definition and standardization, not a pooled estimate; overlapping estimates are retained only for the sensitivity re-selection.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SEER age-specific rates (within-study Black/White ratio; std pop cancels)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155.5 and Cambodian/White ratio 0.26 reported in source Table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NHW 145.5 reported in source Table (NHW/AANHPI 1995-1999)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SEER+NPCR (8-state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IRR 0.86 and rates 126.2/146.9 directly reported in source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Registry populations overlap and are partly nested (county ⊂ state ⊂ SEER; SEER and NPCR both feed USCS; state registries also contribute to NAACCR), so overlapping estimates for the same analytic cell are not independent (selection criteria in Methods).</w:t>
      </w:r>
    </w:p>
    <w:p>
      <w:pPr>
        <w:spacing w:after="80"/>
      </w:pPr>
      <w:r>
        <w:rPr>
          <w:rFonts w:ascii="Malgun Gothic" w:cs="Malgun Gothic" w:eastAsia="Malgun Gothic" w:hAnsi="Malgun Gothic"/>
          <w:i/>
          <w:iCs/>
          <w:sz w:val="18"/>
          <w:szCs w:val="18"/>
        </w:rPr>
        <w:t xml:space="preserve">Main analysis: “yes (representative)” = the estimate carried into the main analysis as the group’s benchmark; “no (overlaps representative)” = an overlapping estimate for the same cell, used only when the representative is re-selected in the sensitivity analyses (Table 6); “no (AI/AN undercount)” = an unlinked-registry AI/AN estimate demoted in favour of the IHS-linked representative; “no (registry-direct anchor)” = the SEER-Explorer reference value, not a screened study; “no (external comparator)” = an estimate that borrows an out-of-paper reference (a SEER-Explorer non-Hispanic White rate), retained only as an overlap record; “no (no usable IRR)” = the source named the subgroup but reported no rate or ratio from which an IRR could be formed.</w:t>
      </w:r>
    </w:p>
    <w:p>
      <w:pPr>
        <w:spacing w:after="80"/>
      </w:pPr>
      <w:r>
        <w:rPr>
          <w:rFonts w:ascii="Malgun Gothic" w:cs="Malgun Gothic" w:eastAsia="Malgun Gothic" w:hAnsi="Malgun Gothic"/>
          <w:i/>
          <w:iCs/>
          <w:sz w:val="18"/>
          <w:szCs w:val="18"/>
        </w:rPr>
        <w:t xml:space="preserve">Comparator: the reference group is shown as each source defined it — non-Hispanic White (NHW) where the source stratified by Hispanic origin, or “White (not NH-stratified)” otherwise (the latter concentrated in the receptor-defined subtypes and AI/AN comparisons). Because the reference rate and the minority rate come from the same source, period, and standard population, the incidence rate ratio is internally valid even where the reference is unstratified White; a sensitivity analysis restricted to NHW-comparator estimates is reported in Supplementary Table 6c.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Because the rate ratio is formed within each study, the standard population largely cancels; the few non-2000 estimates are flagged in the “Std pop” column.</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(JBI checklist for studies reporting prevalence/incidence data)</w:t>
      </w:r>
    </w:p>
    <w:p>
      <w:pPr>
        <w:spacing w:after="80"/>
      </w:pPr>
      <w:r>
        <w:rPr>
          <w:rFonts w:ascii="Malgun Gothic" w:cs="Malgun Gothic" w:eastAsia="Malgun Gothic" w:hAnsi="Malgun Gothic"/>
          <w:i/>
          <w:iCs/>
          <w:sz w:val="18"/>
          <w:szCs w:val="18"/>
        </w:rPr>
        <w:t xml:space="preserve">Nine JBI items rated Y (Yes) / N (No) / U (Unclear); overall risk of bias is summarized as Low, Moderate, or High. The checklist was applied to each study by the author (a single assessor) with large-language-model assistance.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not applicable to census-like registry ascertainment.</w:t>
      </w:r>
    </w:p>
    <w:p>
      <w:pPr>
        <w:spacing w:after="80"/>
      </w:pPr>
      <w:r>
        <w:rPr>
          <w:rFonts w:ascii="Malgun Gothic" w:cs="Malgun Gothic" w:eastAsia="Malgun Gothic" w:hAnsi="Malgun Gothic"/>
          <w:i/>
          <w:iCs/>
          <w:sz w:val="18"/>
          <w:szCs w:val="18"/>
        </w:rPr>
        <w:t xml:space="preserve">Overall risk of bias: Low = at most one item not met with the two key items (Q7 measurement, Q8 analysis) met; High = three or more items not met; Moderate otherwise. Of 49 studies assessed, 39 were Low, 10 Moderate, and 0 High; the Moderate ratings arise chiefly where an estimate was reported as a point value without a variance (Q8) or where race/ethnicity ascertainment was limited (Q7).</w:t>
      </w:r>
    </w:p>
    <w:p>
      <w:r>
        <w:br w:type="page"/>
      </w:r>
    </w:p>
    <w:p>
      <w:pPr>
        <w:pStyle w:val="Heading1"/>
        <w:spacing w:after="100" w:before="200"/>
      </w:pPr>
      <w:r>
        <w:rPr>
          <w:rFonts w:ascii="Malgun Gothic" w:cs="Malgun Gothic" w:eastAsia="Malgun Gothic" w:hAnsi="Malgun Gothic"/>
          <w:b/>
          <w:bCs/>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58 of 76 cells unchanged, 8 changed, 10 dropped. The changed and dropped cells were concentrated in the disaggregated AANHPI subgroups and the age-specific cells, whose representatives are computed estimates from moderate-risk-of-bias sources; the IHS-linked AI/AN representatives (aggregate, Navajo, Southern Plains, and Alaska Native) are unchanged because they are themselves low risk of bias, whereas the Northern Plains cell drops because its only estimate comes from unlinked state registries rated moderate risk of bias.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39 unchanged, 5 changed, 32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58 of 76 cells unchanged, 1 changed, 17 dropped. The aggregate, disaggregated-AANHPI, and Hispanic-origin cells are unchanged because they already use an NHW comparator; the dropped cells are those whose only representative used an unstratified White reference — the receptor-defined subtype set (Loo 2019), the ER/PR subtypes (Gleason 2012), and the two age-specific Black cells; the single changed cell is Alaska Native, whose unstratified-White representative (Nash ANTR, 1.09) is replaced by the IHS-linked estimate reported against a non-Hispanic White reference (Melkonian, 1.25)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invariant to the 20+ vs all-age standard (ages 0–19 contribute ≈0 to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Gleason 2012, Anderson 2008, Keegan 2010, Richardson 2016, Ihenacho 2023, Xie 2022, Carozza 2006, Gomez 2003, Miller 2008.</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Keegan 2007,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Brinton 2008, Cronin 2012. Rates with case counts but no ratio CI; SE(logIRR) from the counts as above.</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pStyle w:val="Heading2"/>
        <w:spacing w:after="100" w:before="200"/>
      </w:pPr>
      <w:r>
        <w:rPr>
          <w:rFonts w:ascii="Malgun Gothic" w:cs="Malgun Gothic" w:eastAsia="Malgun Gothic" w:hAnsi="Malgun Gothic"/>
          <w:b/>
          <w:bCs/>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pStyle w:val="Heading2"/>
        <w:spacing w:after="100" w:before="200"/>
      </w:pPr>
      <w:r>
        <w:rPr>
          <w:rFonts w:ascii="Malgun Gothic" w:cs="Malgun Gothic" w:eastAsia="Malgun Gothic" w:hAnsi="Malgun Gothic"/>
          <w:b/>
          <w:bCs/>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Standard not stated but NHW=146.9 implies 2000 US.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pStyle w:val="Heading2"/>
        <w:spacing w:after="100" w:before="200"/>
      </w:pPr>
      <w:r>
        <w:rPr>
          <w:rFonts w:ascii="Malgun Gothic" w:cs="Malgun Gothic" w:eastAsia="Malgun Gothic" w:hAnsi="Malgun Gothic"/>
          <w:b/>
          <w:bCs/>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Black statement is printed NHW-vs-Black (1.04); it would invert to 0.96 but was left unrecorded as ambiguous.</w:t>
      </w:r>
    </w:p>
    <w:p>
      <w:pPr>
        <w:pStyle w:val="Heading2"/>
        <w:spacing w:after="100" w:before="200"/>
      </w:pPr>
      <w:r>
        <w:rPr>
          <w:rFonts w:ascii="Malgun Gothic" w:cs="Malgun Gothic" w:eastAsia="Malgun Gothic" w:hAnsi="Malgun Gothic"/>
          <w:b/>
          <w:bCs/>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IRR = rate/146.1 with delta-method CI (e.g. Chinese 0.503, 0.490-0.516).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2026-09-09T09:47:03.780Z</dcterms:created>
  <dcterms:modified xsi:type="dcterms:W3CDTF">2026-09-09T09:47:03.781Z</dcterms:modified>
</cp:coreProperties>
</file>

<file path=docProps/custom.xml><?xml version="1.0" encoding="utf-8"?>
<Properties xmlns="http://schemas.openxmlformats.org/officeDocument/2006/custom-properties" xmlns:vt="http://schemas.openxmlformats.org/officeDocument/2006/docPropsVTypes"/>
</file>