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81 of the 83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Across the four sensitivity analyses the main pattern held: few cells changed representative on restriction (11 under the low-risk-of-bias restriction, 5 under the directly-reported restriction, 1 under the NHW-comparator restriction, and 2 under the 2000 U.S. standard-population restriction), and most of the differences were cells dropped for lack of a qualifying estimate rather than cells that disagreed. Standard-population heterogeneity was minor: 81 of 83 representatives were already on the 2000 U.S. standard, and restricting to it dropped no cell and changed only two Black receptor-subtype cells, in the same direction.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and NHW-comparator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and comparator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2026-09-12T09:25:27.653Z</dcterms:created>
  <dcterms:modified xsi:type="dcterms:W3CDTF">2026-09-12T09:25:27.654Z</dcterms:modified>
</cp:coreProperties>
</file>

<file path=docProps/custom.xml><?xml version="1.0" encoding="utf-8"?>
<Properties xmlns="http://schemas.openxmlformats.org/officeDocument/2006/custom-properties" xmlns:vt="http://schemas.openxmlformats.org/officeDocument/2006/docPropsVTypes"/>
</file>