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AI/AN 0.56, Hispanic/Latina 0.72, Asian American, Native Hawaiian, and Pacific Islander (AANHPI) 0.77,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In all, 162 publications were included in the systematic review; of these, 48 were eligible for quantitative synthesis and the remaining 114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Each representative therefore rested on a directly reported ratio or on minority and reference rates from the same source.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(reasons in Supplementary Table 3),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SEER, NPCR and USCS, NAACCR, IHS-linked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AI/AN women IRR 0.56 (95% CI 0.55–0.57), Hispanic/Latina women 0.72 (0.71–0.73), the AANHPI aggregate 0.77 (0.75–0.79),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IRR, or age-standardized rates, from which a comparison with an NHW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54 of 73 cell representatives unchanged, with the 8 changed and 11 dropped cells concentrated in the disaggregated AANHPI subgroups and the age-specific cells; restricting to directly reported estimates left 35 unchanged (5 changed, 33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women—AI/AN women had the lowest IRR (0.56), followed by Hispanic/Latina (0.72) and AANHPI (0.77)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0.56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and most reported AI/AN figures draw on Indian Health Service–linked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5473fefd27fd32e6bb07880357dc0b78ed5210a.png"/><Relationship Id="rId8" Type="http://schemas.openxmlformats.org/officeDocument/2006/relationships/image" Target="media/f08ee2058e0ad90a436065dddba1f3c947175781.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2026-09-08T09:47:29.342Z</dcterms:created>
  <dcterms:modified xsi:type="dcterms:W3CDTF">2026-09-08T09:47:29.344Z</dcterms:modified>
</cp:coreProperties>
</file>

<file path=docProps/custom.xml><?xml version="1.0" encoding="utf-8"?>
<Properties xmlns="http://schemas.openxmlformats.org/officeDocument/2006/custom-properties" xmlns:vt="http://schemas.openxmlformats.org/officeDocument/2006/docPropsVTypes"/>
</file>