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55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213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2–9,11–12,15–52</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60 of 85 cell representatives unchanged, with the 13 changed and 12 dropped cells falling mainly among the disaggregated AANHPI subgroups and, in smaller numbers, the receptor-subtype, age-specific, and Middle Eastern cells; restricting to directly reported estimates left 35 unchanged (5 changed, 45 dropped); restricting to NHW-comparator estimates left 66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SEER-21 period;</w:t>
      </w:r>
      <w:r>
        <w:rPr>
          <w:rFonts w:ascii="Times New Roman" w:cs="Times New Roman" w:eastAsia="Times New Roman" w:hAnsi="Times New Roman"/>
          <w:color w:val="000000"/>
          <w:sz w:val="24"/>
          <w:szCs w:val="24"/>
          <w:vertAlign w:val="superscript"/>
        </w:rPr>
        <w:t xml:space="preserve">27</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21</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10,36,40,44</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2,20</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color w:val="000000"/>
          <w:sz w:val="24"/>
          <w:szCs w:val="24"/>
          <w:vertAlign w:val="superscript"/>
        </w:rPr>
        <w:t xml:space="preserve">27</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49</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color w:val="000000"/>
          <w:sz w:val="24"/>
          <w:szCs w:val="24"/>
          <w:vertAlign w:val="superscript"/>
        </w:rPr>
        <w:t xml:space="preserve">10,44</w:t>
      </w:r>
      <w:r>
        <w:rPr>
          <w:rFonts w:ascii="Times New Roman" w:cs="Times New Roman" w:eastAsia="Times New Roman" w:hAnsi="Times New Roman"/>
          <w:color w:val="000000"/>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34,48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2,29</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therefore confirmed something no individual report, confined to its own registry and period, could establish: that the wide within-aggregate heterogeneity is reproducible across independent registries, stable under the sensitivity restrictions, and concordant with the earlier single-population studies it draws together—so the pattern does not depend on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color w:val="000000"/>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color w:val="000000"/>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color w:val="000000"/>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color w:val="000000"/>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color w:val="000000"/>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color w:val="000000"/>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color w:val="000000"/>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3a830d148e42bdfb177f1c79a09f0ec3734f75f.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2026-09-14T10:38:43.058Z</dcterms:created>
  <dcterms:modified xsi:type="dcterms:W3CDTF">2026-09-14T10:38:43.058Z</dcterms:modified>
</cp:coreProperties>
</file>

<file path=docProps/custom.xml><?xml version="1.0" encoding="utf-8"?>
<Properties xmlns="http://schemas.openxmlformats.org/officeDocument/2006/custom-properties" xmlns:vt="http://schemas.openxmlformats.org/officeDocument/2006/docPropsVTypes"/>
</file>