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(1988-2000)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(Southwest)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0.57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(East)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(Pacific Coast)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1.05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2019 (2010-2015)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1.09 [0.99, 1.21]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Nash 2019 (2009-2014)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Alaska Native Tumor Registry (IHS-linked)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[0.31, 0.93]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[0.60, 1.18]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[0.60, 1.22]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1.08 [0.79, 1.46] † ‡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(2010-2013)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Note. Each cell shows one representative population-based estimate — the most recent, broadest-coverage registry estimate per registry family — not a pooled estimate; the selection rule and its robustness are given in the Methods and Supplementary Table 6. The effect measure is the incidence rate ratio (IRR) unless marked as a standardized incidence ratio (SIR); comparisons are versus non-Hispanic White (NHW) women. † the study's reference was an unstratified White group (not stratified by Hispanic origin), examined in the NHW-comparator sensitivity analysis (Supplementary Table 6c). ‡ the 95% confidence interval was computed by the reviewers from published rates rather than reported in the source. NHB, non-Hispanic Black; AANHPI, Asian American, Native Hawaiian, and Pacific Islander (NHPI, the Pacific Islander subset, shown separately); RoB, risk-of-bias rating of the representative study. Full per-estimate detail is in the Supplementary Materials.</w:t>
      </w: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2. Aggregate-to-disaggregated heterogeneity in breast cancer incidence (representative IRR vs non-Hispanic White, 95% CI): the Asian American, Native Hawaiian and Pacific Islander (AANHPI), Hispanic/Latina, and American Indian and Alaska Native (AI/AN) aggregates, each shown with its subgroups</w:t>
      </w:r>
    </w:p>
    <w:p>
      <w:pPr>
        <w:jc w:val="center"/>
      </w:pPr>
      <w:r>
        <w:drawing>
          <wp:inline distT="0" distB="0" distL="0" distR="0">
            <wp:extent cx="6286500" cy="7543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6500" cy="754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spacing w:after="100" w:before="200"/>
      </w:pPr>
      <w:r>
        <w:rPr>
          <w:rFonts w:ascii="Malgun Gothic" w:cs="Malgun Gothic" w:eastAsia="Malgun Gothic" w:hAnsi="Malgun Gothic"/>
          <w:b/>
          <w:bCs/>
          <w:color w:val="000000"/>
          <w:sz w:val="24"/>
          <w:szCs w:val="24"/>
        </w:rPr>
        <w:t xml:space="preserve">Figure 3.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02b36f24b0a9d06e259e9c2f5d782e3be5bf26a.png"/><Relationship Id="rId8" Type="http://schemas.openxmlformats.org/officeDocument/2006/relationships/image" Target="media/ffce1511a45f0e0a4713d3517a89ce3f1bee70fe.png"/><Relationship Id="rId9" Type="http://schemas.openxmlformats.org/officeDocument/2006/relationships/image" Target="media/707d1ba7aebbb019fa42ad40779b83fb40042146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2026-09-18T08:17:46.344Z</dcterms:created>
  <dcterms:modified xsi:type="dcterms:W3CDTF">2026-09-18T08:17:46.345Z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