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therefore likely reflect incomplete case ascertainment rather than only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shows that the wide within-aggregate heterogeneity is reproducible across independent registries and stable under the sensitivity restrictions, so the pattern does not depend on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36f24b0a9d06e259e9c2f5d782e3be5bf26a.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2026-09-18T08:17:46.014Z</dcterms:created>
  <dcterms:modified xsi:type="dcterms:W3CDTF">2026-09-18T08:17:46.014Z</dcterms:modified>
</cp:coreProperties>
</file>

<file path=docProps/custom.xml><?xml version="1.0" encoding="utf-8"?>
<Properties xmlns="http://schemas.openxmlformats.org/officeDocument/2006/custom-properties" xmlns:vt="http://schemas.openxmlformats.org/officeDocument/2006/docPropsVTypes"/>
</file>