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usually reported for broad racial and ethnic categories. Each category is internally diverse—spanning subgroups defined by ancestry, nativity, and region, with receptor-defined subtypes cutting across them—so an aggregate rate does not show which subgroups are at highest and lowest risk. Estimates for these subgroups come from separate cancer-registry studies that differ in populations, periods, and reference groups, so they are not readily comparable across the published literature.</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166 studies were included—55 eligible for quantitative synthesis and 111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among California Hispanic women it varies further with nativity and neighborhood.</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collapsing the overlapping ones, and appraising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representative selection).</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set and a sample of the excluded set. To check the screening for false negatives, a random sample of 200 model-excluded records was re-screened (reproducible seed)—each title, its recorded exclusion reason, and, where the record concerned breast cancer incidence by race, its abstract and full text—and the whole excluded set was then scanned for the signature this sample revealed. The audit identified three wrongly excluded studies, all neighborhood- or segregation-focused reports that nonetheless tabulated race-specific incidence; each was added to the quantitative synthesis as a single-state or regional overlap, and none changed a cell representative. The full audit, with the records checked and the reasons retained, is in Supplementary Note 2.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(distinct from the nine reports not retrieved at all). The model assisted data extraction and cross-checked each extracted value against its source, and every included estimate was verified by the author against the source table, figure, or text; this verification moved four reports first placed in the narrative set to the quantitative synthesis (Supplementary Note 2), all contributing overlapping or age-specific estimates rather than displacing the national representatives. In all, 166 publications were included in the systematic review; of these, 55 were eligible for quantitative synthesis and the remaining 111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applied to each of the 55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246 reports; 9 could not be retrieved, and of the 237 assessed, 71 were excluded (reasons in Supplementary Table 3), giving 166 included studies (Figure 1). Of these, 55 were eligible for quantitative synthesis and entered the analysis, contributing 213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—23 supplied a cell representative, and the remainder contributed overlapping estimates carried only in the sensitivity analysis; the remaining 111 informed the narrative synthesis (166 = 55 + 111).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sz w:val="24"/>
          <w:szCs w:val="24"/>
        </w:rPr>
        <w:t xml:space="preserve">AI/AN by region</w:t>
      </w:r>
    </w:p>
    <w:p>
      <w:pPr>
        <w:spacing w:after="160" w:line="360"/>
      </w:pPr>
      <w:r>
        <w:rPr>
          <w:rFonts w:ascii="Times New Roman" w:cs="Times New Roman" w:eastAsia="Times New Roman" w:hAnsi="Times New Roman"/>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111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44 of the 55 studies were at low risk of bias and 11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the 2000 U.S. standard population changed little: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 Restricting to low-risk-of-bias studies left 60 of 85 cell representatives unchanged, with the 13 changed and 12 dropped cells falling mainly among the disaggregated AANHPI subgroups and, in smaller numbers, the receptor-subtype, age-specific, and Middle Eastern cells; restricting to directly reported estimates left 35 unchanged (5 changed, 45 dropped); restricting to NHW-comparator estimates left 66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sz w:val="24"/>
          <w:szCs w:val="24"/>
          <w:vertAlign w:val="superscript"/>
        </w:rPr>
        <w:t xml:space="preserve">49</w:t>
      </w:r>
      <w:r>
        <w:rPr>
          <w:rFonts w:ascii="Times New Roman" w:cs="Times New Roman" w:eastAsia="Times New Roman" w:hAnsi="Times New Roman"/>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(38 of the 85 analytic cells) from those resting on a single study (47), and it shows where independent sources agree—most cells—and where they diverge, chiefly the near-null AANHPI subgroups and the ascertainment-dependent AI/AN comparison noted above. Reviewing the studies jointly rather than singly therefore confirmed something no individual report, confined to its own registry and period, could establish: that the wide within-aggregate heterogeneity is reproducible across independent registries, stable under the sensitivity restrictions, and concordant with the earlier single-population studies it draws together—so the pattern does not depend on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3a830d148e42bdfb177f1c79a09f0ec3734f75f.png"/><Relationship Id="rId8" Type="http://schemas.openxmlformats.org/officeDocument/2006/relationships/image" Target="media/784963a3021af25b050f7127d7dc51e7d721feff.png"/><Relationship Id="rId9" Type="http://schemas.openxmlformats.org/officeDocument/2006/relationships/image" Target="media/707d1ba7aebbb019fa42ad40779b83fb4004214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2026-09-13T04:48:29.516Z</dcterms:created>
  <dcterms:modified xsi:type="dcterms:W3CDTF">2026-09-13T04:48:29.517Z</dcterms:modified>
</cp:coreProperties>
</file>

<file path=docProps/custom.xml><?xml version="1.0" encoding="utf-8"?>
<Properties xmlns="http://schemas.openxmlformats.org/officeDocument/2006/custom-properties" xmlns:vt="http://schemas.openxmlformats.org/officeDocument/2006/docPropsVTypes"/>
</file>