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usually reported for broad racial and ethnic categories. Each category is internally diverse—spanning subgroups defined by ancestry, nativity, and region, with receptor-defined subtypes cutting across them—so an aggregate rate does not show which subgroups are at highest and lowest risk. Estimates for these subgroups come from separate cancer-registry studies that differ in populations, periods, and reference groups, so they are not readily comparable across the published literature.</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166 studies were included—55 eligible for quantitative synthesis and 111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among California Hispanic women it varies further with nativity and neighborhood.</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American Indian and Alaska Native (AI/AN) women, the aggregate rate also depends on how race is ascertained: registries that assign race by observation misclassify and undercount many AI/AN cases, so an unlinked-registry rate understates their true incidence.</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collapsing the overlapping ones, and appraising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the four restriction-based sensitivity analyses; and the reclassification of four reports from the narrative to the quantitative synthesis after their source tables were re-verified as page images.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representative selection).</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(Anthropic's Claude) under the author's direction: the model applied the criteria to each record and proposed an include/exclude decision, and the author adjudicated the included set and a sample of the excluded set. To check the screening for false negatives, a random sample of 200 model-excluded records was re-screened (reproducible seed)—each title, its recorded exclusion reason, and, where the record concerned breast cancer incidence by race, its abstract and full text—and the whole excluded set was then scanned for the signature this sample revealed. The audit identified three wrongly excluded studies, all neighborhood- or segregation-focused reports that nonetheless tabulated race-specific incidence; each was added to the quantitative synthesis as a single-state or regional overlap, and none changed a cell representative. The full audit, with the records checked and the reasons retained, is in Supplementary Note 2. 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(distinct from the nine reports not retrieved at all). The model assisted data extraction and cross-checked each extracted value against its source, and every included estimate was verified by the author against the source table, figure, or text; this verification moved four reports first placed in the narrative set to the quantitative synthesis (Supplementary Note 2), all contributing overlapping or age-specific estimates rather than displacing the national representatives. In all, 166 publications were included in the systematic review; of these, 55 were eligible for quantitative synthesis and the remaining 111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sz w:val="24"/>
          <w:szCs w:val="24"/>
        </w:rPr>
        <w:t xml:space="preserve">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 For AI/AN populations this order was overridden in favour of ascertainment validity: because unlinked registries misclassify race and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For Alaska Native women, for example, this ascertainment-preferred source—the IHS-eligibility-based Alaska Native Tumor Registry—reports against an unstratified White reference rather than NHW; it was kept as the representative because completeness of ascertainment took priority over comparator type, and its NHW-comparator alternative was carried in the sensitivity analysis. 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applied to each of the 55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the main-text table, the forest figures, and the sensitivity tables were all regenerated from it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246 reports; 9 could not be retrieved, and of the 237 assessed, 71 were excluded (reasons in Supplementary Table 3), giving 166 included studies (Figure 1). Of these, 55 were eligible for quantitative synthesis and entered the analysis, contributing 206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—24 supplied a cell representative, and the remainder contributed overlapping estimates carried only in the sensitivity analysis; the remaining 111 informed the narrative synthesis (166 = 55 + 111). The extracted studies were published between 2002 and 2026 and drew on SEER, NPCR and USCS, NAACCR, IHS-linked and tribal registries, and individual state or regional registries (Supplementary Table 2). After collapsing overlapping registry-family estimates, 83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sz w:val="24"/>
          <w:szCs w:val="24"/>
        </w:rPr>
        <w:t xml:space="preserve">AI/AN by region</w:t>
      </w:r>
    </w:p>
    <w:p>
      <w:pPr>
        <w:spacing w:after="160" w:line="360"/>
      </w:pPr>
      <w:r>
        <w:rPr>
          <w:rFonts w:ascii="Times New Roman" w:cs="Times New Roman" w:eastAsia="Times New Roman" w:hAnsi="Times New Roman"/>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111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44 of the 55 studies were at low risk of bias and 11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the 2000 U.S. standard population changed little: 81 of the 83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 Restricting to low-risk-of-bias studies left 62 of 83 cell representatives unchanged, with the 11 changed and 10 dropped cells falling mainly among the disaggregated AANHPI subgroups and, in smaller numbers, the receptor-subtype, age-specific, and Middle Eastern cells; restricting to directly reported estimates left 31 unchanged (5 changed, 47 dropped); restricting to NHW-comparator estimates left 64 unchanged (1 changed, 18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so the figure shows the range of published estimates—differing in registry, region, and diagnosis period—rather than a within-study decomposition).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For the subgroups whose incidence sits close to the NHW rate, which study represents the cell can change the direction of the small difference. Japanese women are the clearest example: the representative estimate, from a recent SEER-21 source,</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sz w:val="24"/>
          <w:szCs w:val="24"/>
          <w:vertAlign w:val="superscript"/>
        </w:rPr>
        <w:t xml:space="preserve">49</w:t>
      </w:r>
      <w:r>
        <w:rPr>
          <w:rFonts w:ascii="Times New Roman" w:cs="Times New Roman" w:eastAsia="Times New Roman" w:hAnsi="Times New Roman"/>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sz w:val="24"/>
          <w:szCs w:val="24"/>
        </w:rPr>
        <w:t xml:space="preserve">Two features of the underlying data shaped these estimates. First, unlinked registries undercount AI/AN cases, so the AI/AN estimates here draw on Indian Health Service–linked sources, which correct that undercounting.</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The correction is substantial: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span the six IHS regions from 0.57 (Southwest) to 1.33 (Southern Plains), reaching or exceeding the NHW rate in the Northern Plains (1.05), Alaska Native women (1.09, confidence interval spanning 1.0), and the Southern Plains (1.33).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are likely to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overlapping estimates collapsed and each source appraised, arranges aggregate and subgroup results on one axis for comparison—though the estimates are not fully commensurable, for the reasons set out under the limitations below, and the arrangement shows the span of published figures rather than a set of mutually calibrated rates. The main pattern held across the four sensitivity analyses: few cells changed representative on restriction, and most of the differences were cells dropped for lack of a qualifying estimate rather than cells that disagreed. 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which can move a ratio slightly. Expressing each group's incidence as a ratio to the NHW rate does not by itself make the estimates commensurable: because the cells are drawn from different studies, differences in standard population, underlying age structure, registry region, and diagnosis period remain embedded in the ratios and are not cancelled by the common comparator. A ratio removes the shared standard-population scaling only when its numerator and denominator come from the same source and standardization—which holds within each cell but not across cells. Diagnosis period and registry region differed across cells and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selection and extraction error, the full text of all but one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can be read against one another and against their aggregates in one place. Second, by collapsing overlapping registry-family estimates while retaining the overlaps for the sensitivity analysis, it separates cells corroborated by two or more independent sources (36 of the 83 analytic cells) from those resting on a single study (47), and it shows where independent studies agree and where they do not: the aggregate ordering and most subgroup estimates held across the low-risk-of-bias, directly-reported, NHW-comparator, and standard-population restrictions, while a few near-null differences—chiefly among Asian American subgroups, notably Japanese women—changed sign with the source, and the AI/AN comparison depended on whether case ascertainment was IHS-linked. Reviewing the studies jointly rather than singly therefore confirmed something no individual report, confined to its own registry and period, could establish: that the wide within-aggregate heterogeneity is reproducible across independent registries and stable under the risk-of-bias, provenance, comparator, and standard-population restrictions, and is concordant with the earlier single-population studies it draws together—so the pattern reflects real differences rather than the choice of any one data source.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standard population, period, and region, these estimates are best read as a comparable-scale summary of the available evidence rather than as mutually calibrated rates, with the provenance and comparator of each estimate (computed CI ‡; unstratified White †) marked so readers can weigh them.</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2d02d09de366b498f4c165925784aed568ecb4b.png"/><Relationship Id="rId8" Type="http://schemas.openxmlformats.org/officeDocument/2006/relationships/image" Target="media/784963a3021af25b050f7127d7dc51e7d721feff.png"/><Relationship Id="rId9" Type="http://schemas.openxmlformats.org/officeDocument/2006/relationships/image" Target="media/d1eb7530e6a39cf9939b6c538f1d1de237d8c35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2026-09-12T09:40:19.664Z</dcterms:created>
  <dcterms:modified xsi:type="dcterms:W3CDTF">2026-09-12T09:40:19.664Z</dcterms:modified>
</cp:coreProperties>
</file>

<file path=docProps/custom.xml><?xml version="1.0" encoding="utf-8"?>
<Properties xmlns="http://schemas.openxmlformats.org/officeDocument/2006/custom-properties" xmlns:vt="http://schemas.openxmlformats.org/officeDocument/2006/docPropsVTypes"/>
</file>