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[Author names withheld — pending co-author/supervisor approval]</w:t>
      </w:r>
    </w:p>
    <w:p>
      <w:r>
        <w:t>[Affiliations pending]</w:t>
      </w:r>
    </w:p>
    <w:p>
      <w:r>
        <w:t>* Corresponding author: [contact pending]</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I tested whether these aggregates obscure disparities visible only after disaggregation by ethnicity, molecular subtype, and age.</w:t>
      </w:r>
    </w:p>
    <w:p>
      <w:r>
        <w:rPr>
          <w:b/>
        </w:rPr>
        <w:t>Methods.</w:t>
      </w:r>
      <w:r>
        <w:t xml:space="preserve"> I searched PubMed and Embase (through 11 July 2026) for US population-based studies reporting age-adjusted invasive female breast cancer incidence by race/ethnicity versus NHW. After deduplication (n = 941) and two-stage screening, 27 studies were included and 14 entered quantitative synthesis. Within-study incidence rate ratios (IRRs) were pooled using DerSimonian–Laird random-effects models, with fixed-effect, leave-one-out, one-per-registry-family, risk-of-bias, and GRADE sensitivity analyses.</w:t>
      </w:r>
    </w:p>
    <w:p>
      <w:r>
        <w:rPr>
          <w:b/>
        </w:rPr>
        <w:t>Results.</w:t>
      </w:r>
      <w:r>
        <w:t xml:space="preserve"> Aggregate IRRs versus NHW were 0.93 (95% CI 0.87–0.99) for Black, 0.68 for Hispanic, 0.78 for API, and 0.70 for AIAN women, with extreme heterogeneity (I² 99–100%). These aggregates were misleading. Disaggregated "API" spanned a ~3-fold range, from Korean (0.34) and Chinese (0.51) to Native Hawaiian (1.11, above NHW). By subtype, the near-null Black aggregate rose with tumour aggressiveness (HR+/HER2− 0.86 to triple-negative 2.00); this excess was ethnicity-specific — Native Hawaiian women were higher in HER2-positive but </w:t>
      </w:r>
      <w:r>
        <w:rPr>
          <w:i/>
        </w:rPr>
        <w:t>lower</w:t>
      </w:r>
      <w:r>
        <w:t xml:space="preserve"> in triple-negative disease (0.86). By age, the Black–White ratio crossed from 1.92 (ages 20–24) through unity at 40–44 to 0.78–0.84 after age 60. All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Some subtype- and subgroup-specific estimates rest on few sources and are hypothesis-generating; nonetheless, these findings support prioritizing disaggregated ethnicity-, subtype-, and age-specific reporting in surveillance and etiologic research.</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[1–2].</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[3]. Second, a single age-standardized rate collapses two dimensions along which disparities are known to differ sharply: molecular subtype (Black women disproportionately develop triple-negative and other hormone-receptor-negative tumours) [4–5] and age (a long-recognized Black–White incidence crossover in which Black women have higher rates when young and lower rates when old) [6].</w:t>
      </w:r>
    </w:p>
    <w:p>
      <w:r>
        <w:t xml:space="preserve">I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I further use meta-analytic heterogeneity to demonstrate </w:t>
      </w:r>
      <w:r>
        <w:rPr>
          <w:i/>
        </w:rPr>
        <w:t>why</w:t>
      </w:r>
      <w:r>
        <w:t xml:space="preserve"> aggregate estimates are misleading.</w:t>
      </w:r>
    </w:p>
    <w:p>
      <w:pPr>
        <w:pStyle w:val="Heading1"/>
      </w:pPr>
      <w:r>
        <w:t>Methods</w:t>
      </w:r>
    </w:p>
    <w:p>
      <w:r>
        <w:t>This review followed the PRISMA 2020 statement [7]. It was not prospectively registered in PROSPERO; to support transparency the full protocol (PICO, search strategy, eligibility criteria, and analysis plan), the extracted data, and all analysis code are openly available (see Data availability). The openly available protocol, data, and code provide an important reproducibility safeguard notwithstanding the absence of prospective registration.</w:t>
      </w:r>
    </w:p>
    <w:p>
      <w:pPr>
        <w:pStyle w:val="Heading2"/>
      </w:pPr>
      <w:r>
        <w:t>Eligibility criteria</w:t>
      </w:r>
    </w:p>
    <w:p>
      <w:r>
        <w:t xml:space="preserve">I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I excluded studies of mortality, survival, prevalence, in-situ-only or stage-specific outcomes, male breast cancer, mortality-to-incidence ratios [8],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 xml:space="preserve">I searched MEDLINE (via PubMed) and Embase on 11 July 2026 for records published from 1 January 2000 through 31 December 2025, restricted to English-language human studies. The strategy was intentionally specific rather than maximally sensitive, combining a race/ethnicity/disparity concept with an incidence/rate concept. In PubMed the race/ethnicity concept was captured by title terms </w:t>
      </w:r>
      <w:r>
        <w:rPr>
          <w:b/>
        </w:rPr>
        <w:t>or</w:t>
      </w:r>
      <w:r>
        <w:t xml:space="preserve"> the corresponding MeSH descriptors ("Racial Groups", "Ethnicity", "Health Status Disparities"), and the incidence concept by title, abstract, or the "Incidence" MeSH; in Embase the race/ethnicity concept was title-based. Anchoring the race/ethnicity concept principally in the title and controlled vocabulary was a deliberate choice to retrieve studies whose primary objective is racial/ethnic variation in breast cancer incidence, rather than the far larger literature that reports race only as one covariate in clinical, treatment, or survival analyses — a set that an unrestricted all-fields search would return in overwhelming volume with little gain in eligible primary-rate studies. The resulting sensitivity trade-off, and the mitigating roles of MeSH indexing and the near-census coverage of the included registries, are discussed in the Limitations.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AI assistance was confined to retrieval, de-duplication, first-pass classification, and initial data extraction; every full-text inclusion or exclusion decision was reviewed by the author. Each extracted value was recorded together with its exact source location, and every rate entering the quantitative synthesis was verified by the author against the source-article PDF — against the rate table, or, where rates were presented only in a chart, against that figure (verification log); a full independent double-extraction by a second reviewer was not performed. To make the extraction independently checkable rather than reliant on unverified transcription, all extracted values, their source locations, the per-record screening decisions, and the analysis code are openly available (see Data availability), so that any reported value can be traced to its source.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I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[9]; heterogeneity was summarized with I², τ² [10], and 95% prediction intervals. DerSimonian–Laird was chosen as the conventional random-effects default; because my inference rests on the direction of effects and on the disaggregated strata rather than on the precise width of the aggregate confidence intervals, the choice of between-study variance estimator (e.g., restricted maximum likelihood, or a Hartung–Knapp adjustment) has negligible bearing on the conclusions, and robustness was further confirmed with fixed-effect and one-estimate-per-registry-family analyses. Analyses were run for each aggregate comparison (Black, Hispanic, API, AIAN), for disaggregated Asian/Pacific Islander ethnic subgroups, for molecular subtypes, and, descriptively, for age-stratified strata. Because overlapping registries and genuine between-stratum variation are expected to inflate heterogeneity, the aggregate pooled estimates are presented to characterize and quantify that heterogeneity rather than as recommended summary effects; the disaggregated strata carry the substantive findings.</w:t>
      </w:r>
    </w:p>
    <w:p>
      <w:pPr>
        <w:pStyle w:val="Heading2"/>
      </w:pPr>
      <w:r>
        <w:t>Sensitivity analyses</w:t>
      </w:r>
    </w:p>
    <w:p>
      <w:r>
        <w:t>Because US registries overlap (SEER ⊂ NAACCR ⊂ USCS; county registries ⊂ state ⊂ SEER), pooled studies are not independent and random-effects CIs are optimistic. For each aggregate comparison I recomputed the pooled estimate as a fixed-effect model, under leave-one-out removal of each study, excluding studies whose SE was approximated (no reported CI), and after collapsing sources to one estimate per registry family (keeping the most precise per family). I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I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[11]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[1,3–6,12–20]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[2,21–25], two non-US studies (United Kingdom) retained as international comparison [26–27], four US studies of different design (persistent-poverty-area, socioeconomic-status, an older South Asian analysis, and a Los Angeles trends analysis whose annual rates make any single pooled summary period-sensitive) [28–31], and one eligible study lacking extractable rates [32].</w:t>
      </w:r>
    </w:p>
    <w:p>
      <w:pPr>
        <w:pStyle w:val="Heading2"/>
      </w:pPr>
      <w:r>
        <w:t>Aggregate racial comparisons conceal, rather than summarize, disparity</w:t>
      </w:r>
    </w:p>
    <w:p>
      <w:r>
        <w:t>Pooled IRRs versus NHW were 0.93 (95% CI 0.87–0.99) for Black, 0.68 (0.61–0.75) for Hispanic, 0.78 (0.70–0.88) for API, and 0.70 (0.58–0.83) for AIAN women (Fig 1) [1,3–4,12–16,20].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0.51, 0.39–0.67) and Asian Indian/Pakistani (0.48, 0.45–0.52) at the low end, through Filipina (0.72, 0.66–0.80) and Japanese (0.84, 0.56–1.26), to Native Hawaiian women, whose incidence </w:t>
      </w:r>
      <w:r>
        <w:rPr>
          <w:i/>
        </w:rPr>
        <w:t>exceeded</w:t>
      </w:r>
      <w:r>
        <w:t xml:space="preserve"> NHW (1.11, 1.10–1.12) (Fig 2) [16,18–19]. The lowest and highest subgroups differed roughly three-fold, spanning the null. The aggregate API estimate of 0.78 therefore has limited interpretability: it corresponds to no single constituent population and reflects the ethnic composition of the underlying sample rather than the risk of any specific community. Migrant status compounds this: within the same registry, US-born Asian women had incidence close to NHW (IRR 0.93) whereas foreign-born Asian women had roughly half (0.54), a generational gradient the single 'Asian' rate conceals [3].</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[4–5,12,14]. Two independent sources agreed on the ER-negative excess (1.66 and 1.80) [12,14].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[18].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[6].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[17].</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[15].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I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is of limited interpretability, corresponding to no single constituent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informative: it suggests that the aggressive-subtype excess may not be a universal minority phenomenon but may instead be more consistent with Black-specific etiology — potentially involving mechanisms linked to West African genetic ancestry and the distinct reproductive and socioeconomic exposures more prevalent among Black women — than with minority status per se [12]. This mechanistic interpretation was not directly tested in the present study and is offered as a hypothesis consistent with the observed pattern. Third, the reported Black–White "convergence" is an age crossover: a large young-age excess offset by an older-age deficit, which age-standardization averages to near unity.</w:t>
      </w:r>
    </w:p>
    <w:p>
      <w:r>
        <w:rPr>
          <w:b/>
        </w:rPr>
        <w:t>Relation to prior work.</w:t>
      </w:r>
      <w:r>
        <w:t xml:space="preserve"> My results reconcile the apparently benign "convergence" narrative with the persistent clinical reality of aggressive early-onset disease in Black women and with etiologic evidence that "Asian American" is not a meaningful risk category [3,21,24]. Rather than contradicting surveillance reports, I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[12]; nativity and generational gradients among Asian subgroups [3]).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I therefore emphasize direction and the disaggregated strata over the precise aggregate point estimates, and I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I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(for example, the two-source agreement on the Black ER-negative excess) rested on as few as two data sources; these are accordingly regarded as hypothesis-generating rather than definitive population-wide estimates, and the corresponding directional claims should be read as signals to be confirmed in dedicated primary analyses. Formal small-study and publication-bias tests (funnel plots, Egger's test) were not performed because each comparison included fewer than ten studies and the overlap of registries renders funnel asymmetry uninterpretable; I instead assessed this risk qualitatively. Because the included analyses draw on population-based cancer registries that ascertain essentially all incident cases in their catchment and are reported as routine surveillance regardless of the direction or statistical significance of any race/ethnicity contrast, the classic mechanism of selective publication of "positive" findings does not operate as it does for hypothesis-testing studies; residual reporting bias is therefore expected to be minimal, although it cannot be excluded. Grey literature and conference abstracts were not sought, because the analysis required primary age-adjusted rates; the near-census, routinely reported nature of registry incidence attenuates the file-drawer problem that grey-literature searching is designed to address. Relatedly, my search was deliberately specific — anchoring the race/ethnicity/disparity concept principally in the article title, supplemented in PubMed by the relevant MeSH descriptors — which favours precision over sensitivity and may have missed studies that reported incidence disparities only as a secondary result, particularly in Embase, where the concept was title-based. I accepted this trade-off to target primary incidence-disparity studies; the inclusion of MeSH indexing in PubMed recovers studies not carrying the concept in their title, and because the principal national and regional registry systems (SEER, NAACCR, USCS, and the California and Hawaii registries) are each represented, the major sources of US incidence data are captured. I nonetheless cannot exclude that a more sensitive, abstract-wide search would add further regional analyses. This review was conducted by a single author with AI assistance rather than by two independent human reviewers: screening decisions were author-reviewed and every value entering the quantitative synthesis was verified against its source-article PDF, but extraction was not independently double-performed by a second reviewer, so residual single-extractor errors cannot be fully excluded. To mitigate this, every extracted value is published with its source location and all analysis code is open, allowing readers to verify any value against its primary source.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These findings strengthen the case for routine disaggregated, subtype-specific, and age-specific reporting in cancer surveillance and etiologic research.</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in a supporting role only: the literature-search workflow, de-duplication, first-pass screening, data-extraction support, analysis-code development, figure preparation, and language editing of the draft. All statistical analyses were executed by the author using the openly available code; the AI did not perform the analyses or determine the results. The AI is not an author and bears no responsibility for the work. All computed estimates are reproducible from the openly available analysis code, and all extracted values are provided with their source locations so they can be independently verified. Data extraction was AI-assisted; the author reviewed the AI outputs, verified every value entering the quantitative synthesis against its source-article PDF and all drafted claims against the sources, and takes full responsibility for the analyses, interpretation, and content, though a second-reviewer independent double-extraction was not performed (see Methods and Limitations).</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[To be completed once authorship is confirmed.] Conceptualization, Methodology, Formal analysis, Data curation, Investigation, Software, Visualization, Writing – original draft, Writing – review &amp; editing.</w:t>
      </w:r>
    </w:p>
    <w:p>
      <w:r>
        <w:rPr>
          <w:b/>
        </w:rPr>
        <w:t>Author list.</w:t>
      </w:r>
      <w:r>
        <w:t xml:space="preserve"> [Author names, ORCIDs, affiliations, and corresponding-author contact to be added pending co-author/supervisor approval.]</w:t>
      </w:r>
    </w:p>
    <w:p>
      <w:pPr>
        <w:pStyle w:val="Heading1"/>
      </w:pPr>
      <w:r>
        <w:t>References</w:t>
      </w:r>
    </w:p>
    <w:p>
      <w:pPr>
        <w:spacing w:after="80"/>
      </w:pPr>
      <w:r>
        <w:t xml:space="preserve">1.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2. </w:t>
      </w:r>
      <w:r>
        <w:t>Davis Lynn BC, Rosenberg PS, Anderson WF, Gierach GL. Black–White Breast Cancer Incidence Trends: Effects of Ethnicity. J Natl Cancer Inst. 2018;110(11):1270–1272. doi:10.1093/jnci/djy112. PMID: 29982593.</w:t>
      </w:r>
    </w:p>
    <w:p>
      <w:pPr>
        <w:spacing w:after="80"/>
      </w:pPr>
      <w:r>
        <w:t xml:space="preserve">3.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4.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5. </w:t>
      </w:r>
      <w:r>
        <w:t>Du XL, Li Z. Incidence trends in triple-negative breast cancer among women in the United States from 2010 to 2019 by race/ethnicity, age and tumor stage. Am J Cancer Res. 2023;13(2):678–691. PMID: 36895969.</w:t>
      </w:r>
    </w:p>
    <w:p>
      <w:pPr>
        <w:spacing w:after="80"/>
      </w:pPr>
      <w:r>
        <w:t xml:space="preserve">6.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7. </w:t>
      </w:r>
      <w:r>
        <w:t>Page MJ, McKenzie JE, Bossuyt PM, Boutron I, Hoffmann TC, Mulrow CD, et al. The PRISMA 2020 statement: an updated guideline for reporting systematic reviews. BMJ. 2021;372:n71. PMID: 33782057.</w:t>
      </w:r>
    </w:p>
    <w:p>
      <w:pPr>
        <w:spacing w:after="80"/>
      </w:pPr>
      <w:r>
        <w:t xml:space="preserve">8. </w:t>
      </w:r>
      <w:r>
        <w:t>Nobel TB, Asumeng CK, Jasek J, Van Beck KC, Mathur R, Qiao B, Brown JJ. Disparities in mortality-to-incidence ratios by race/ethnicity for female breast cancer in New York City, 2002-2016. Cancer Med. 2020;9(21):8226–8234. doi:10.1002/cam4.3309. PMID: 33006431.</w:t>
      </w:r>
    </w:p>
    <w:p>
      <w:pPr>
        <w:spacing w:after="80"/>
      </w:pPr>
      <w:r>
        <w:t xml:space="preserve">9. </w:t>
      </w:r>
      <w:r>
        <w:t>DerSimonian R, Laird N. Meta-analysis in clinical trials. Control Clin Trials. 1986;7(3):177–188. PMID: 3802833.</w:t>
      </w:r>
    </w:p>
    <w:p>
      <w:pPr>
        <w:spacing w:after="80"/>
      </w:pPr>
      <w:r>
        <w:t xml:space="preserve">10. </w:t>
      </w:r>
      <w:r>
        <w:t>Higgins JPT, Thompson SG, Deeks JJ, Altman DG. Measuring inconsistency in meta-analyses. BMJ. 2003;327(7414):557–560. PMID: 12958120.</w:t>
      </w:r>
    </w:p>
    <w:p>
      <w:pPr>
        <w:spacing w:after="80"/>
      </w:pPr>
      <w:r>
        <w:t xml:space="preserve">11. </w:t>
      </w:r>
      <w:r>
        <w:t>Guyatt GH, Oxman AD, Vist GE, Kunz R, Falck-Ytter Y, Alonso-Coello P, Schünemann HJ; GRADE Working Group. GRADE: an emerging consensus on rating quality of evidence and strength of recommendations. BMJ. 2008;336(7650):924–926. PMID: 18436948.</w:t>
      </w:r>
    </w:p>
    <w:p>
      <w:pPr>
        <w:spacing w:after="80"/>
      </w:pPr>
      <w:r>
        <w:t xml:space="preserve">12. </w:t>
      </w:r>
      <w:r>
        <w:t>Davis Lynn BC, Figueroa JD, Laryea D, Awittor FK, Oti NOO, Booker QS, et al. Breast Cancer Incidence Rates in Ghanaian and US Black Women From 2013 Through 2015. JAMA Netw Open. 2025;8(10):e2537160. doi:10.1001/jamanetworkopen.2025.37160. PMID: 41082230.</w:t>
      </w:r>
    </w:p>
    <w:p>
      <w:pPr>
        <w:spacing w:after="80"/>
      </w:pPr>
      <w:r>
        <w:t xml:space="preserve">13.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14. </w:t>
      </w:r>
      <w:r>
        <w:t>Du XL, Song L. Breast cancer incidence trends in Asian women aged 20 or older as compared to other ethnic women in the United States from 2000 to 2018 by time period, age and tumor stage. Cancer Epidemiol. 2022;76:102076. doi:10.1016/j.canep.2021.102076. PMID: 34861613.</w:t>
      </w:r>
    </w:p>
    <w:p>
      <w:pPr>
        <w:spacing w:after="80"/>
      </w:pPr>
      <w:r>
        <w:t xml:space="preserve">15.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16. </w:t>
      </w:r>
      <w:r>
        <w:t>Liu L, Zhang J, Wu AH, Pike MC, Deapen D. Invasive breast cancer incidence trends by detailed race/ethnicity and age. Int J Cancer. 2012;130(2):395–404. PMID: 21351091.</w:t>
      </w:r>
    </w:p>
    <w:p>
      <w:pPr>
        <w:spacing w:after="80"/>
      </w:pPr>
      <w:r>
        <w:t xml:space="preserve">17.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18. </w:t>
      </w:r>
      <w:r>
        <w:t>Loo LWM, Williams M, Hernandez BY. The high and heterogeneous burden of breast cancer in Hawaii: A unique multiethnic U.S. population. Cancer Epidemiol. 2019;58:71–76. doi:10.1016/j.canep.2018.11.006. PMID: 30503975.</w:t>
      </w:r>
    </w:p>
    <w:p>
      <w:pPr>
        <w:spacing w:after="80"/>
      </w:pPr>
      <w:r>
        <w:t xml:space="preserve">19.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20. </w:t>
      </w:r>
      <w:r>
        <w:t>Lepeak L, Tevaarwerk A, Jones N, Williamson A, Cetnar J, LoConte N. Persistence in Breast Cancer Disparities Between African Americans and Whites in Wisconsin. WMJ. 2011;110(1):21–25. PMID: 21473509.</w:t>
      </w:r>
    </w:p>
    <w:p>
      <w:pPr>
        <w:spacing w:after="80"/>
      </w:pPr>
      <w:r>
        <w:t xml:space="preserve">21.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22. </w:t>
      </w:r>
      <w:r>
        <w:t>Hou N, Huo D. A trend analysis of breast cancer incidence rates in the United States from 2000 to 2009 shows a recent increase. Breast Cancer Res Treat. 2013;138(2):633–641. doi:10.1007/s10549-013-2434-0. PMID: 23446808.</w:t>
      </w:r>
    </w:p>
    <w:p>
      <w:pPr>
        <w:spacing w:after="80"/>
      </w:pPr>
      <w:r>
        <w:t xml:space="preserve">23. </w:t>
      </w:r>
      <w:r>
        <w:t>Li NHY, Li CI. Incidence Rate Trends of Breast Cancer Overall and by Molecular Subtype by Race and Ethnicity and Age. JAMA Netw Open. 2025;8(1):e2456142. doi:10.1001/jamanetworkopen.2024.56142. PMID: 39853979.</w:t>
      </w:r>
    </w:p>
    <w:p>
      <w:pPr>
        <w:spacing w:after="80"/>
      </w:pPr>
      <w:r>
        <w:t xml:space="preserve">24.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25.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26. </w:t>
      </w:r>
      <w:r>
        <w:t>Stotter A, Jenkins J, Edmondson-Jones M, Blackledge H, Kearins O. Temporal changes in breast cancer incidence in South Asian women. Cancer Epidemiol. 2014;38(6):663–669. doi:10.1016/j.canep.2014.08.009. PMID: 25214237.</w:t>
      </w:r>
    </w:p>
    <w:p>
      <w:pPr>
        <w:spacing w:after="80"/>
      </w:pPr>
      <w:r>
        <w:t xml:space="preserve">27. </w:t>
      </w:r>
      <w:r>
        <w:t>Gathani T, Kan SW, Sweetland S, Reeves GK. Ethnicity and breast cancer incidence in over 329 500 women in England in 2011–2019. Eur J Surg Oncol. 2026;52:109585. PMID: 39794169.</w:t>
      </w:r>
    </w:p>
    <w:p>
      <w:pPr>
        <w:spacing w:after="80"/>
      </w:pPr>
      <w:r>
        <w:t xml:space="preserve">28. </w:t>
      </w:r>
      <w:r>
        <w:t>Deapen D, Liu L, Perkins C, Bernstein L, Ross RK. Rapidly rising breast cancer incidence rates among Asian-American women. Int J Cancer. 2002;99(5):747–750. PMID: 12115511.</w:t>
      </w:r>
    </w:p>
    <w:p>
      <w:pPr>
        <w:spacing w:after="80"/>
      </w:pPr>
      <w:r>
        <w:t xml:space="preserve">29. </w:t>
      </w:r>
      <w:r>
        <w:t>Movsisyan Vernon AS, Maguire FB, Ullah AT, Hofer BM, Parikh-Patel A, Wun T, Hussain SK, Keegan THM. Cancer Incidence and Trends in Persistent Poverty Areas of California by Race/Ethnicity and Sex. Cancer Med. 2025;14(15):e71088. doi:10.1002/cam4.71088. PMID: 40736150.</w:t>
      </w:r>
    </w:p>
    <w:p>
      <w:pPr>
        <w:spacing w:after="80"/>
      </w:pPr>
      <w:r>
        <w:t xml:space="preserve">30. </w:t>
      </w:r>
      <w:r>
        <w:t>Yost K, Perkins C, Cohen R, Morris C, Wright W. Socioeconomic status and breast cancer incidence in California for different race/ethnic groups. Cancer Causes Control. 2001;12(8):703–711. PMID: 11562110.</w:t>
      </w:r>
    </w:p>
    <w:p>
      <w:pPr>
        <w:spacing w:after="80"/>
      </w:pPr>
      <w:r>
        <w:t xml:space="preserve">31. </w:t>
      </w:r>
      <w:r>
        <w:t>Jain RV, Mills PK, Parikh-Patel A. Cancer incidence in the south Asian population of California, 1988–2000. J Carcinog. 2005;4:21. doi:10.1186/1477-3163-4-21.</w:t>
      </w:r>
    </w:p>
    <w:p>
      <w:pPr>
        <w:spacing w:after="80"/>
      </w:pPr>
      <w:r>
        <w:t xml:space="preserve">32. </w:t>
      </w:r>
      <w:r>
        <w:t>Han Y, Talbott E, Donovan M. Time Trends and Racial Differences in Female Breast Cancer Incidence in Pennsylvania 1985–2004. J Womens Health (Larchmt). 2011;20(3):325–331. doi:10.1089/jwh.2010.2082.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