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Each value is a representative population-based estimate (a contemporary benchmark) for the group — the most recent, broadest-coverage registry estimate with an appropriate population definition and standardization — not a meta-analytic pooled estimate; one estimate is shown per registry family. Effect measure is the incidence rate ratio (IRR) unless noted as a standardized incidence ratio (SIR). Comparisons are versus non-Hispanic White (NHW) women, except where marked † — the reference in that study was an unstratified White group (not stratified by Hispanic origin), which may raise the IRR slightly; these estimates are examined in the NHW-comparator sensitivity analysis (Supplementary Table 6c). Black denotes non-Hispanic Black (NHB), and the Asian/Pacific Islander aggregate is labeled AANHPI (Asian American, Native Hawaiian, and Pacific Islander), with the Pacific-Islander subset shown separately as NHPI. RoB = risk-of-bias rating of the representative study. Full per-estimate detail, including each study's comparator and standard population,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75188affc8fbacc18ff1aed4426fbcc15a314b4.png"/><Relationship Id="rId8" Type="http://schemas.openxmlformats.org/officeDocument/2006/relationships/image" Target="media/ff4e2a5df5b5a4b61ea7aa7931018a955ce889d8.png"/><Relationship Id="rId9" Type="http://schemas.openxmlformats.org/officeDocument/2006/relationships/image" Target="media/b983c35637ca208496018d64a3b19919f045d9a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2026-09-01T09:42:48.992Z</dcterms:created>
  <dcterms:modified xsi:type="dcterms:W3CDTF">2026-09-01T09:42:48.992Z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