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 Recurring statistics series—the annual cancer-statistics reports and the Annual Report to the Nation—re-report incidence for largely the same registries and periods from one edition to the next. For each series the most recent eligible edition was retained and the earlier editions were excluded as duplicates. Because a retained edition re-reports registry incidence that the dedicated primary study for that registry and period already provides, it was not treated as a candidate representative and contributes only to the narrative synthesis.</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161e9f33485013d1870d65e79ca3234ebb0712ee.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2026-09-22T03:34:40.760Z</dcterms:created>
  <dcterms:modified xsi:type="dcterms:W3CDTF">2026-09-22T03:34:40.760Z</dcterms:modified>
</cp:coreProperties>
</file>

<file path=docProps/custom.xml><?xml version="1.0" encoding="utf-8"?>
<Properties xmlns="http://schemas.openxmlformats.org/officeDocument/2006/custom-properties" xmlns:vt="http://schemas.openxmlformats.org/officeDocument/2006/docPropsVTypes"/>
</file>