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 Florida, incidence differed by country of origin: Mexican 0.51 (0.38–0.69), New Latino 0.70 (0.63–0.77), Cuban 0.77 (0.69–0.86), and Puerto Rican 0.83 (0.74–0.94) (Table 1; Figure 2). A separate multi-state study reported an all-Hispanic standardized incidence ratio of 0.64 (0.64–0.65); drawn from a more Mexican-weighted set of registries than these Cuban- and Puerto Rican–heavy Florida groups, it falls below most of them and is not their weighted average (Table 1).</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2026-09-06T10:55:36.478Z</dcterms:created>
  <dcterms:modified xsi:type="dcterms:W3CDTF">2026-09-06T10:55:36.480Z</dcterms:modified>
</cp:coreProperties>
</file>

<file path=docProps/custom.xml><?xml version="1.0" encoding="utf-8"?>
<Properties xmlns="http://schemas.openxmlformats.org/officeDocument/2006/custom-properties" xmlns:vt="http://schemas.openxmlformats.org/officeDocument/2006/docPropsVTypes"/>
</file>