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and North African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p>
      <w:pPr>
        <w:spacing w:after="80"/>
      </w:pPr>
      <w:r>
        <w:rPr>
          <w:rFonts w:ascii="Malgun Gothic" w:cs="Malgun Gothic" w:eastAsia="Malgun Gothic" w:hAnsi="Malgun Gothic"/>
          <w:i/>
          <w:iCs/>
          <w:sz w:val="18"/>
          <w:szCs w:val="18"/>
        </w:rPr>
        <w:t xml:space="preserve">The 163 studies are all publications included in the systematic review; not all entered the quantitative synthesis. They are grouped below by how each contributed: 48 were eligible for quantitative synthesis (of these, 43 provided extractable quantitative data and entered the analysis, and 5 were eligible but provided no extractable data), and the remaining 115 contributed to the narrative synthesis only (163 = 43 + 5 + 115). Study design is classified from the data source; most included studies are population-based registry/incidence studies rather than cohort studies. A PMID (or DOI where no PMID exists) is given for every study so that each of the 163 included studies—including the 115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eligible, no extractable data (n = 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doi:10.1101/2025.07.14.25331338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NHW=155.5)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NHW=146.9)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Chinese</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Filipina</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one representative was kept per registry family per cell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male breast cancer,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Two reviewers assessed each study independently, and disagreements were resolved by consensus or a third reviewer.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43 studies assessed, 37 were Low, 6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67 of 85 cells unchanged, 5 changed, 13 dropped. The changed and dropped cells were concentrated in the disaggregated AANHPI subgroups and the AI/AN cells, whose representatives are computed estimates from moderate-risk-of-bias sources.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46 unchanged, 6 changed, 33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57 of 85 cells unchanged, 2 changed, 26 dropped. The aggregate, disaggregated-AANHPI, and Hispanic-origin cells are unchanged because they already use an NHW comparator; the dropped cells are those whose only representative used an unstratified White reference — the receptor-defined subtype set (Loo 2019), male breast cancer (Sung 2020), the ER/PR subtypes (Gleason 2012), and two age-specific Black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(or `directly-reported-rate` where the source printed the rate).</w:t>
      </w:r>
    </w:p>
    <w:p>
      <w:pPr>
        <w:spacing w:after="80"/>
      </w:pPr>
      <w:r>
        <w:rPr>
          <w:rFonts w:ascii="Malgun Gothic" w:cs="Malgun Gothic" w:eastAsia="Malgun Gothic" w:hAnsi="Malgun Gothic"/>
          <w:i w:val="false"/>
          <w:iCs w:val="false"/>
          <w:sz w:val="18"/>
          <w:szCs w:val="18"/>
        </w:rPr>
        <w:t xml:space="preserve">The records in each class:</w:t>
      </w:r>
    </w:p>
    <w:p>
      <w:pPr>
        <w:spacing w:after="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Gomez 2003, Miller 2008.</w:t>
      </w:r>
    </w:p>
    <w:p>
      <w:pPr>
        <w:spacing w:after="80"/>
      </w:pPr>
      <w:r>
        <w:rPr>
          <w:rFonts w:ascii="Malgun Gothic" w:cs="Malgun Gothic" w:eastAsia="Malgun Gothic" w:hAnsi="Malgun Gothic"/>
          <w:i w:val="false"/>
          <w:iCs w:val="false"/>
          <w:sz w:val="18"/>
          <w:szCs w:val="18"/>
        </w:rPr>
        <w:t xml:space="preserve">• point only (no CI): Liu 2012, Lund 2010, Keegan 2007, Harper 2009, Gopalani 2020, McCracken 2007.</w:t>
      </w:r>
    </w:p>
    <w:p>
      <w:pPr>
        <w:spacing w:after="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w:t>
      </w:r>
    </w:p>
    <w:p>
      <w:pPr>
        <w:spacing w:after="80"/>
      </w:pPr>
      <w:r>
        <w:rPr>
          <w:rFonts w:ascii="Malgun Gothic" w:cs="Malgun Gothic" w:eastAsia="Malgun Gothic" w:hAnsi="Malgun Gothic"/>
          <w:i w:val="false"/>
          <w:iCs w:val="false"/>
          <w:sz w:val="18"/>
          <w:szCs w:val="18"/>
        </w:rPr>
        <w:t xml:space="preserve">sqrt(1/D_min + 1/D_nhw) (D = cases); provenance `computed-from-rates-Poisson-SE`.</w:t>
      </w:r>
    </w:p>
    <w:p>
      <w:pPr>
        <w:spacing w:after="80"/>
      </w:pPr>
      <w:r>
        <w:rPr>
          <w:rFonts w:ascii="Malgun Gothic" w:cs="Malgun Gothic" w:eastAsia="Malgun Gothic" w:hAnsi="Malgun Gothic"/>
          <w:i w:val="false"/>
          <w:iCs w:val="false"/>
          <w:sz w:val="18"/>
          <w:szCs w:val="18"/>
        </w:rPr>
        <w:t xml:space="preserve">• (Ellington 2022, USCS). Aggregate age-adjusted rates for women aged ≥20</w:t>
      </w:r>
    </w:p>
    <w:p>
      <w:pPr>
        <w:spacing w:after="80"/>
      </w:pPr>
      <w:r>
        <w:rPr>
          <w:rFonts w:ascii="Malgun Gothic" w:cs="Malgun Gothic" w:eastAsia="Malgun Gothic" w:hAnsi="Malgun Gothic"/>
          <w:i w:val="false"/>
          <w:iCs w:val="false"/>
          <w:sz w:val="18"/>
          <w:szCs w:val="18"/>
        </w:rPr>
        <w:t xml:space="preserve">• (USCS, ~99% coverage): Black 174.0, Hispanic 134.0, Asian/PI 143.5, AI/AN 127.3, vs</w:t>
      </w:r>
    </w:p>
    <w:p>
      <w:pPr>
        <w:spacing w:after="80"/>
      </w:pPr>
      <w:r>
        <w:rPr>
          <w:rFonts w:ascii="Malgun Gothic" w:cs="Malgun Gothic" w:eastAsia="Malgun Gothic" w:hAnsi="Malgun Gothic"/>
          <w:i w:val="false"/>
          <w:iCs w:val="false"/>
          <w:sz w:val="18"/>
          <w:szCs w:val="18"/>
        </w:rPr>
        <w:t xml:space="preserve">• NHW 186.5; the paper reports rates, not ratios. IRR = minority / 186.5, with the CI</w:t>
      </w:r>
    </w:p>
    <w:p>
      <w:pPr>
        <w:spacing w:after="80"/>
      </w:pPr>
      <w:r>
        <w:rPr>
          <w:rFonts w:ascii="Malgun Gothic" w:cs="Malgun Gothic" w:eastAsia="Malgun Gothic" w:hAnsi="Malgun Gothic"/>
          <w:i w:val="false"/>
          <w:iCs w:val="false"/>
          <w:sz w:val="18"/>
          <w:szCs w:val="18"/>
        </w:rPr>
        <w:t xml:space="preserve">• from the annual case counts (e.g., Black 0.933 [0.920, 0.946], Hispanic 0.718</w:t>
      </w:r>
    </w:p>
    <w:p>
      <w:pPr>
        <w:spacing w:after="80"/>
      </w:pPr>
      <w:r>
        <w:rPr>
          <w:rFonts w:ascii="Malgun Gothic" w:cs="Malgun Gothic" w:eastAsia="Malgun Gothic" w:hAnsi="Malgun Gothic"/>
          <w:i w:val="false"/>
          <w:iCs w:val="false"/>
          <w:sz w:val="18"/>
          <w:szCs w:val="18"/>
        </w:rPr>
        <w:t xml:space="preserve">• [0.707, 0.731]). This supplies three of the four aggregate overall estimates.</w:t>
      </w:r>
    </w:p>
    <w:p>
      <w:pPr>
        <w:spacing w:after="80"/>
      </w:pPr>
      <w:r>
        <w:rPr>
          <w:rFonts w:ascii="Malgun Gothic" w:cs="Malgun Gothic" w:eastAsia="Malgun Gothic" w:hAnsi="Malgun Gothic"/>
          <w:i w:val="false"/>
          <w:iCs w:val="false"/>
          <w:sz w:val="18"/>
          <w:szCs w:val="18"/>
        </w:rPr>
        <w:t xml:space="preserve">• Brinton 2008, Cronin 2012. Rates with case counts but no</w:t>
      </w:r>
    </w:p>
    <w:p>
      <w:pPr>
        <w:spacing w:after="80"/>
      </w:pPr>
      <w:r>
        <w:rPr>
          <w:rFonts w:ascii="Malgun Gothic" w:cs="Malgun Gothic" w:eastAsia="Malgun Gothic" w:hAnsi="Malgun Gothic"/>
          <w:i w:val="false"/>
          <w:iCs w:val="false"/>
          <w:sz w:val="18"/>
          <w:szCs w:val="18"/>
        </w:rPr>
        <w:t xml:space="preserve">• ratio CI; SE(logIRR) from the counts as above.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The table gives origin-specific rates and rounded</w:t>
      </w:r>
    </w:p>
    <w:p>
      <w:pPr>
        <w:spacing w:after="80"/>
      </w:pPr>
      <w:r>
        <w:rPr>
          <w:rFonts w:ascii="Malgun Gothic" w:cs="Malgun Gothic" w:eastAsia="Malgun Gothic" w:hAnsi="Malgun Gothic"/>
          <w:i w:val="false"/>
          <w:iCs w:val="false"/>
          <w:sz w:val="18"/>
          <w:szCs w:val="18"/>
        </w:rPr>
        <w:t xml:space="preserve">• IR ratios but not the NHW-Florida rate; a NHW-FL value of ≈143 (2000 US std)</w:t>
      </w:r>
    </w:p>
    <w:p>
      <w:pPr>
        <w:spacing w:after="80"/>
      </w:pPr>
      <w:r>
        <w:rPr>
          <w:rFonts w:ascii="Malgun Gothic" w:cs="Malgun Gothic" w:eastAsia="Malgun Gothic" w:hAnsi="Malgun Gothic"/>
          <w:i w:val="false"/>
          <w:iCs w:val="false"/>
          <w:sz w:val="18"/>
          <w:szCs w:val="18"/>
        </w:rPr>
        <w:t xml:space="preserve">• reproduces the authors' rounded ratios (0.8/0.5/0.8/0.7) and was used as the</w:t>
      </w:r>
    </w:p>
    <w:p>
      <w:pPr>
        <w:spacing w:after="80"/>
      </w:pPr>
      <w:r>
        <w:rPr>
          <w:rFonts w:ascii="Malgun Gothic" w:cs="Malgun Gothic" w:eastAsia="Malgun Gothic" w:hAnsi="Malgun Gothic"/>
          <w:i w:val="false"/>
          <w:iCs w:val="false"/>
          <w:sz w:val="18"/>
          <w:szCs w:val="18"/>
        </w:rPr>
        <w:t xml:space="preserve">• fixed denominator. The CI for each origin group is the origin-rate CI scaled by</w:t>
      </w:r>
    </w:p>
    <w:p>
      <w:pPr>
        <w:spacing w:after="80"/>
      </w:pPr>
      <w:r>
        <w:rPr>
          <w:rFonts w:ascii="Malgun Gothic" w:cs="Malgun Gothic" w:eastAsia="Malgun Gothic" w:hAnsi="Malgun Gothic"/>
          <w:i w:val="false"/>
          <w:iCs w:val="false"/>
          <w:sz w:val="18"/>
          <w:szCs w:val="18"/>
        </w:rPr>
        <w:t xml:space="preserve">• the same denominator.</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2026-08-19T14:02:37.757Z</dcterms:created>
  <dcterms:modified xsi:type="dcterms:W3CDTF">2026-08-19T14:02:37.757Z</dcterms:modified>
</cp:coreProperties>
</file>

<file path=docProps/custom.xml><?xml version="1.0" encoding="utf-8"?>
<Properties xmlns="http://schemas.openxmlformats.org/officeDocument/2006/custom-properties" xmlns:vt="http://schemas.openxmlformats.org/officeDocument/2006/docPropsVTypes"/>
</file>