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and Meta-analysis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Core Collection) were searched for U.S. studies reporting female invasive breast cancer incidence by racial or ethnic group relative to a White or non-Hispanic White (NHW) comparator, following PRISMA</w:t>
      </w:r>
    </w:p>
    <w:p>
      <w:pPr>
        <w:spacing w:after="60" w:line="300"/>
      </w:pPr>
      <w:r>
        <w:rPr>
          <w:rFonts w:ascii="Times New Roman" w:cs="Times New Roman" w:eastAsia="Times New Roman" w:hAnsi="Times New Roman"/>
          <w:sz w:val="24"/>
          <w:szCs w:val="24"/>
        </w:rPr>
        <w:t xml:space="preserve">2020. Because these registries (SEER, NPCR/USCS, NAACCR, and state) overlap, one representative</w:t>
      </w:r>
    </w:p>
    <w:p>
      <w:pPr>
        <w:spacing w:after="160" w:line="360"/>
      </w:pPr>
      <w:r>
        <w:rPr>
          <w:rFonts w:ascii="Times New Roman" w:cs="Times New Roman" w:eastAsia="Times New Roman" w:hAnsi="Times New Roman"/>
          <w:sz w:val="24"/>
          <w:szCs w:val="24"/>
        </w:rPr>
        <w:t xml:space="preserve">population-based estimate was selected per registry family rather than pooled. Each estimate was an incidence rate ratio (IRR) versus NHW women; ratios not reported directly were recomputed from a single master dataset, and risk of bias was assessed with the Joanna Briggs Institute checklist for prevalence and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0.50 (Mexican) to 0.82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for AI/AN populations, the aggregate figure is further affected by registry undercounting. This descriptive review compares incidence and does not assess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we selected for each racial or ethnic group and analytic dimension a single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Each estimate was assigned to a registry "family," and the registry, region, diagnosis period, age range, group, and outcome of each study were tabulated so that overlaps could be seen (Supplementary Table 4). The representative estimate was the one with the broadest population coverage (USCS &gt; NAACCR &gt; SEER-national &gt; state or regional),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synthesis—43 of which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—and the remaining 115 were included in the narrative synthesis (163 = 48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estimates to one representative per registry family, 85 representative estimates (one per racial or ethnic group × analytic dimension) remained; all are listed in Supplementary Table 4, and the principal comparisons—overall incidence, the disaggregated AANHPI and Hispanic-origin subgroups, AI/AN by region, Middle Eastern populations, triple-negative breast cancer, and male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0.50 (0.38–0.67), New Latino 0.68 (0.62–0.76), Cuban 0.76 (0.68–0.84), and Puerto Rican 0.82 (0.73–0.92);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w:t>
      </w:r>
    </w:p>
    <w:p>
      <w:pPr>
        <w:pStyle w:val="Heading2"/>
        <w:keepNext/>
        <w:spacing w:after="80" w:line="360"/>
      </w:pPr>
      <w:r>
        <w:rPr>
          <w:rFonts w:ascii="Times New Roman" w:cs="Times New Roman" w:eastAsia="Times New Roman" w:hAnsi="Times New Roman"/>
          <w:b/>
          <w:bCs/>
          <w:sz w:val="24"/>
          <w:szCs w:val="24"/>
        </w:rPr>
        <w:t xml:space="preserve">Male breast cancer</w:t>
      </w:r>
    </w:p>
    <w:p>
      <w:pPr>
        <w:spacing w:after="160" w:line="360"/>
      </w:pPr>
      <w:r>
        <w:rPr>
          <w:rFonts w:ascii="Times New Roman" w:cs="Times New Roman" w:eastAsia="Times New Roman" w:hAnsi="Times New Roman"/>
          <w:sz w:val="24"/>
          <w:szCs w:val="24"/>
        </w:rPr>
        <w:t xml:space="preserve">Among men, breast cancer incidence in Black men was 1.52 (1.44–1.60)† relative to White men (Table 1).</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studies not entered into the quantitative synthesis met the inclusion criteria but did not report an incidence rate ratio, or age-standardized rates, from which a comparison with a non-Hispanic White reference could be recovered; they are listed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67 of 85 cell representatives unchanged, with the 5 changed and 13 dropped cells concentrated in the disaggregated AANHPI subgroups and the AI/AN cells; restricting to directly reported estimates left 46 unchanged (6 changed, 33 dropped); and restricting to NHW-comparator estimates left 57 unchanged (2 changed, 26 dropped), the dropped cells being those whose only representative used an unstratified White comparator — the receptor-defined subtypes, male breast cancer,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Disaggregated estimates varied widely within these aggregate categories. Among Asian American subgroups the IRR ranged from 0.16 in Hmong women to 1.05 in Japanese women; Native Hawaiian women (1.21) and the Native Hawaiian and Pacific Islander (NHPI) aggregate (1.21) were higher than NHW women. Hispanic incidence rose from 0.50 in Mexican women to 0.82 in Puerto Rican women, and AI/AN incidence ranged from 0.49 in the Navajo area to 1.33 in the Northern Plains. The pattern for triple-negative breast cancer (TNBC) differed from that for overall incidence: NHB women had the highest TNBC incidence (1.95), whereas most other groups were at or below the NHW rate.</w:t>
      </w:r>
    </w:p>
    <w:p>
      <w:pPr>
        <w:spacing w:after="160" w:line="360"/>
      </w:pPr>
      <w:r>
        <w:rPr>
          <w:rFonts w:ascii="Times New Roman" w:cs="Times New Roman" w:eastAsia="Times New Roman" w:hAnsi="Times New Roman"/>
          <w:sz w:val="24"/>
          <w:szCs w:val="24"/>
        </w:rPr>
        <w:t xml:space="preserve">These findings are consistent with earlier disaggregated analyses and extend them. Gomez and colleagues first documented the wide variation among Asian American subgroups within the aggregate category;</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the present estimates span the full set of subgroups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incidence observed in Native Hawaiian women echoes the heterogeneous burden reported in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and the ordering of Hispanic subgroups—lower in Mexican and higher in Puerto Rican and Cuban women—reproduces the gradient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regional range across AI/AN populations, and the low rate in the Navajo area, are in line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The higher TNBC incidence in NHB women is also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contribution here is to bring these estimates together with overlapping registry data reduced to one representative population-based estimate per registry family and a consistent NHW comparator, so that aggregate and subgroup results can be read side by side.</w:t>
      </w:r>
    </w:p>
    <w:p>
      <w:pPr>
        <w:spacing w:after="160" w:line="360"/>
      </w:pPr>
      <w:r>
        <w:rPr>
          <w:rFonts w:ascii="Times New Roman" w:cs="Times New Roman" w:eastAsia="Times New Roman" w:hAnsi="Times New Roman"/>
          <w:sz w:val="24"/>
          <w:szCs w:val="24"/>
        </w:rPr>
        <w:t xml:space="preserve">Several explanations have been proposed in the included studies, and are best treated as possible contributors rather than established causes. Nativity and generational status are among the most consistently reported: lower incidence in some Asian and Hispanic subgroups has been linked to a larger proportion of foreign-born women and to residence in ethnic enclaves, with rates that tend to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Differences in the distribution of molecular subtypes and in stage at diagnosis, screening, and access to care have also been described and may contribute to the observed patterns.</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For AI/AN populations, part of the apparent difference reflects a data issue rather than a difference in underlying risk: unlinked national registries misclassify race and undercount AI/AN cases, which is why Indian Health Service–linked estimates were preferred for this group.</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Genetic or biological mechanisms were not examined in this review, which compares incidence rather than distinguishing its underlying causes.</w:t>
      </w:r>
    </w:p>
    <w:p>
      <w:pPr>
        <w:spacing w:after="160" w:line="360"/>
      </w:pPr>
      <w:r>
        <w:rPr>
          <w:rFonts w:ascii="Times New Roman" w:cs="Times New Roman" w:eastAsia="Times New Roman" w:hAnsi="Times New Roman"/>
          <w:sz w:val="24"/>
          <w:szCs w:val="24"/>
        </w:rPr>
        <w:t xml:space="preserve">At the aggregate level, these categories do not reflect the higher incidence seen in some subgroups—Native Hawaiian women, several AI/AN regional populations, and NHB women for triple-negative disease. For AI/AN populations, part of the aggregate difference reflects registry undercounting rather than lower incidence. Estimates for the smallest subgroups rested on limited numbers and differed in standard population and diagnosis period, which constrains their precision and comparability.</w:t>
      </w:r>
    </w:p>
    <w:p>
      <w:pPr>
        <w:spacing w:after="160" w:line="360"/>
      </w:pPr>
      <w:r>
        <w:rPr>
          <w:rFonts w:ascii="Times New Roman" w:cs="Times New Roman" w:eastAsia="Times New Roman" w:hAnsi="Times New Roman"/>
          <w:sz w:val="24"/>
          <w:szCs w:val="24"/>
        </w:rPr>
        <w:t xml:space="preserve">This review has several strengths. The search covered multiple databases; the synthesis included disaggregated ethnic subgroups, receptor-defined subtypes, and male breast cancer; overlapping registry data were handled explicitly by selecting one representative estimate per registry family; the provenance of each estimate was recorded; risk of bias was assessed with a tool designed for prevalence and incidence studies; and all derived rate ratios were recomputed and cross-checked against a single master extraction dataset. The review also has limitations. It is a descriptive comparison of incidence and was not designed to identify causes. Because many estimates come from overlapping or nested registry populations, they are not statistically independent and were not combined into a pooled summary. Some rate ratios were computed from published rates, and a few used a fixed reference rate as the denominator (for example, the Florida Hispanic-origin estimates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or an unstratified White comparator (the receptor-defined subtypes and male breast cancer), which can move a ratio slightly. Included studies also differed in standard population and diagnosis period, which limits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several Asian, Pacific Islander, Hispanic, and AI/AN subgroups differ markedly from their aggregate, and the subtype pattern for NHB women differs from the overall pattern. Registry overlap and the undercounting of AI/AN populations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Male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(2011-2015)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8aaf9f9a150f69bdd52602b8afddb98728e423ba.png"/><Relationship Id="rId9" Type="http://schemas.openxmlformats.org/officeDocument/2006/relationships/image" Target="media/78150a6cbd68807f0f944741267edd5852a27b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2026-08-20T07:39:29.891Z</dcterms:created>
  <dcterms:modified xsi:type="dcterms:W3CDTF">2026-08-20T07:39:29.891Z</dcterms:modified>
</cp:coreProperties>
</file>

<file path=docProps/custom.xml><?xml version="1.0" encoding="utf-8"?>
<Properties xmlns="http://schemas.openxmlformats.org/officeDocument/2006/custom-properties" xmlns:vt="http://schemas.openxmlformats.org/officeDocument/2006/docPropsVTypes"/>
</file>