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and overlap or duplication was adjudicated from the full text.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219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with an explicit keyword filter and re-read at the full abstract; because a relaxed four-of-five-signal threshold recovered studies that stated a needed term only in a table rather than the abstract—one giving race-specific rates without an explicit rate term, and one without an explicit U.S. term—the residual risk of a missed study is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shows that the wide within-aggregate heterogeneity is reproducible across independent registries and stable under the sensitivity restrictions, so the pattern does not depend on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9c4e27b0248769a0113ef335befbe216a5c0448.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2026-09-17T04:44:06.455Z</dcterms:created>
  <dcterms:modified xsi:type="dcterms:W3CDTF">2026-09-17T04:44:06.455Z</dcterms:modified>
</cp:coreProperties>
</file>

<file path=docProps/custom.xml><?xml version="1.0" encoding="utf-8"?>
<Properties xmlns="http://schemas.openxmlformats.org/officeDocument/2006/custom-properties" xmlns:vt="http://schemas.openxmlformats.org/officeDocument/2006/docPropsVTypes"/>
</file>