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Standard population—the axis of most concern for cross-study comparability—mattered least: 81 of the 83 representatives were already standardized to the 2000 U.S. standard, so restricting to it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estimates standardized to the 2000 U.S. standard population left 81 of 83 unchanged and dropped none, with only two Black receptor-subtype cells changing—each from a representative standardized to the 1960 Segi world standard to a 2000 U.S.–standardized estimate in the same direction (hormone-receptor-negative 1.80 to 1.60, hormone-receptor-positive 0.82 to 0.70).</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four sensitivity analyses the main pattern held: few cells changed representative on restriction (11 under the low-risk-of-bias restriction, 5 under the directly-reported restriction, 1 under the NHW-comparator restriction, and 2 under the 2000 U.S. standard-population restriction), and most of the differences were cells dropped for lack of a qualifying estimate rather than cells that disagreed. Standard-population heterogeneity in particular proved minor: 81 of 83 representatives were already on the 2000 U.S. standard, and restricting to it dropped no cell and changed only two Black receptor-subtype cells, in the same direction.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2026-09-12T09:16:42.574Z</dcterms:created>
  <dcterms:modified xsi:type="dcterms:W3CDTF">2026-09-12T09:16:42.574Z</dcterms:modified>
</cp:coreProperties>
</file>

<file path=docProps/custom.xml><?xml version="1.0" encoding="utf-8"?>
<Properties xmlns="http://schemas.openxmlformats.org/officeDocument/2006/custom-properties" xmlns:vt="http://schemas.openxmlformats.org/officeDocument/2006/docPropsVTypes"/>
</file>