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p>
      <w:pPr>
        <w:spacing w:after="80"/>
      </w:pPr>
      <w:r>
        <w:rPr>
          <w:rFonts w:ascii="Malgun Gothic" w:cs="Malgun Gothic" w:eastAsia="Malgun Gothic" w:hAnsi="Malgun Gothic"/>
          <w:i/>
          <w:iCs/>
          <w:sz w:val="18"/>
          <w:szCs w:val="18"/>
        </w:rPr>
        <w:t xml:space="preserve">The 163 studies are all publications included in the systematic review; not all entered the quantitative synthesis. They are grouped below by how each contributed: 48 were eligible for quantitative synthesis (of these, 43 provided extractable quantitative data and entered the analysis, and 5 were eligible but provided no extractable data), and the remaining 115 contributed to the narrative synthesis only (163 = 43 + 5 + 115). Study design is classified from the data source; most included studies are population-based registry/incidence studies rather than cohort studies. A PMID (or DOI where no PMID exists) is given for every study so that each of the 163 included studies—including the 115 in the narrative synthesis—can be located individually.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13"/>
        <w:gridCol w:w="2833"/>
        <w:gridCol w:w="2479"/>
        <w:gridCol w:w="2833"/>
        <w:gridCol w:w="2243"/>
      </w:tblGrid>
      <w:tr>
        <w:trPr>
          <w:tblHeader/>
        </w:trPr>
        <w:tc>
          <w:tcPr>
            <w:tcW w:type="dxa" w:w="40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7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28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224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eligible, no extractable data (n = 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14401"/>
            <w:gridSpan w:val="5"/>
            <w:shd w:fill="D9E2EF" w:color="auto" w:val="clear"/>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doi:10.1101/2025.07.14.25331338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7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28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224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population-based estimate (contemporary benchmark) per registry family per analytic cell for the main analysis — the most recent, broadest-coverage estimate with an appropriate population definition and standardization, not a pooled estimate; overlapping estimates are retained only for the sensitivity re-selection.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one representative was kept per registry family per cell (selection criteria in Methods).</w:t>
      </w:r>
    </w:p>
    <w:p>
      <w:pPr>
        <w:spacing w:after="80"/>
      </w:pPr>
      <w:r>
        <w:rPr>
          <w:rFonts w:ascii="Malgun Gothic" w:cs="Malgun Gothic" w:eastAsia="Malgun Gothic" w:hAnsi="Malgun Gothic"/>
          <w:i/>
          <w:iCs/>
          <w:sz w:val="18"/>
          <w:szCs w:val="18"/>
        </w:rPr>
        <w:t xml:space="preserve">Main analysis: “yes (representative)” = the estimate carried into the main analysis as the group’s benchmark; “no (overlaps representative)” = an overlapping estimate for the same cell, used only when the representative is re-selected in the sensitivity analyses (Table 6);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 non-Hispanic White (NHW) where the source stratified by Hispanic origin, or “White (not NH-stratified)” otherwise (the latter concentrated in the receptor-defined subtypes, male breast cancer, and AI/AN comparisons). Because the reference rate and the minority rate come from the same source, period, and standard population, the incidence rate ratio is internally valid even where the reference is unstratified White; a sensitivity analysis restricted to NHW-comparator estimates is reported in Supplementary Table 6c.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Because the rate ratio is formed within each study, the standard population largely cancels; the few non-2000 estimates are flagged in the “Std pop” column.</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(JBI checklist for studies reporting prevalence/incidence data)</w:t>
      </w:r>
    </w:p>
    <w:p>
      <w:pPr>
        <w:spacing w:after="80"/>
      </w:pPr>
      <w:r>
        <w:rPr>
          <w:rFonts w:ascii="Malgun Gothic" w:cs="Malgun Gothic" w:eastAsia="Malgun Gothic" w:hAnsi="Malgun Gothic"/>
          <w:i/>
          <w:iCs/>
          <w:sz w:val="18"/>
          <w:szCs w:val="18"/>
        </w:rPr>
        <w:t xml:space="preserve">Nine JBI items rated Y (Yes) / N (No) / U (Unclear); overall risk of bias is summarized as Low, Moderate, or High. Two reviewers assessed each study independently, and disagreements were resolved by consensus or a third reviewer.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527"/>
        <w:gridCol w:w="877"/>
        <w:gridCol w:w="877"/>
        <w:gridCol w:w="877"/>
        <w:gridCol w:w="877"/>
        <w:gridCol w:w="877"/>
        <w:gridCol w:w="877"/>
        <w:gridCol w:w="877"/>
        <w:gridCol w:w="877"/>
        <w:gridCol w:w="877"/>
        <w:gridCol w:w="1980"/>
      </w:tblGrid>
      <w:tr>
        <w:trPr>
          <w:tblHeader/>
        </w:trPr>
        <w:tc>
          <w:tcPr>
            <w:tcW w:type="dxa" w:w="452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8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Q9</w:t>
            </w:r>
          </w:p>
        </w:tc>
        <w:tc>
          <w:tcPr>
            <w:tcW w:type="dxa" w:w="198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52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8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198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 Q9 response rate — not applicable to census-like registry ascertainment.</w:t>
      </w:r>
    </w:p>
    <w:p>
      <w:pPr>
        <w:spacing w:after="80"/>
      </w:pPr>
      <w:r>
        <w:rPr>
          <w:rFonts w:ascii="Malgun Gothic" w:cs="Malgun Gothic" w:eastAsia="Malgun Gothic" w:hAnsi="Malgun Gothic"/>
          <w:i/>
          <w:iCs/>
          <w:sz w:val="18"/>
          <w:szCs w:val="18"/>
        </w:rPr>
        <w:t xml:space="preserve">Overall risk of bias: Low = at most one item not met with the two key items (Q7 measurement, Q8 analysis) met; High = three or more items not met; Moderate otherwise. Of 43 studies assessed, 37 were Low, 6 Moderate, and 0 High; the Moderate ratings arise chiefly where an estimate was reported as a point value without a variance (Q8) or where race/ethnicity ascertainment was limited (Q7).</w:t>
      </w:r>
    </w:p>
    <w:p>
      <w:r>
        <w:br w:type="page"/>
      </w:r>
    </w:p>
    <w:p>
      <w:pPr>
        <w:pStyle w:val="Heading1"/>
        <w:spacing w:after="100" w:before="200"/>
      </w:pPr>
      <w:r>
        <w:rPr>
          <w:rFonts w:ascii="Malgun Gothic" w:cs="Malgun Gothic" w:eastAsia="Malgun Gothic" w:hAnsi="Malgun Gothic"/>
          <w:b/>
          <w:bCs/>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67 of 85 cells unchanged, 5 changed, 13 dropped. The changed and dropped cells were concentrated in the disaggregated AANHPI subgroups and the AI/AN cells, whose representatives are computed estimates from moderate-risk-of-bias sources.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378"/>
        <w:gridCol w:w="2906"/>
        <w:gridCol w:w="3963"/>
        <w:gridCol w:w="3963"/>
        <w:gridCol w:w="1189"/>
      </w:tblGrid>
      <w:tr>
        <w:trPr>
          <w:tblHeader/>
        </w:trPr>
        <w:tc>
          <w:tcPr>
            <w:tcW w:type="dxa" w:w="237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9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c>
          <w:tcPr>
            <w:tcW w:type="dxa" w:w="396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 [95% CI]</w:t>
            </w:r>
          </w:p>
        </w:tc>
        <w:tc>
          <w:tcPr>
            <w:tcW w:type="dxa" w:w="118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2378"/>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9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396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118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(low-risk-of-bias only in Table 6a; author-reported IRR/SIR only in Table 6b; NHW-comparator only in Table 6c). Status: unchanged = same study remains the representative; changed = a different study becomes the representative (its IRR is shown); dropped = no eligible estimate remained for that cell (Sens IRR = “–”). Only changed/dropped cells are listed; the remaining cells were unchanged. A “dropped” cell means no estimate met the restriction, not that the main estimate changed.</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w:t>
      </w:r>
    </w:p>
    <w:p>
      <w:pPr>
        <w:spacing w:after="80"/>
      </w:pPr>
      <w:r>
        <w:rPr>
          <w:rFonts w:ascii="Malgun Gothic" w:cs="Malgun Gothic" w:eastAsia="Malgun Gothic" w:hAnsi="Malgun Gothic"/>
          <w:i w:val="false"/>
          <w:iCs w:val="false"/>
          <w:sz w:val="18"/>
          <w:szCs w:val="18"/>
        </w:rPr>
        <w:t xml:space="preserve">with how it was derived, so each is reproducible. Estimates reported by the source as a ratio</w:t>
      </w:r>
    </w:p>
    <w:p>
      <w:pPr>
        <w:spacing w:after="80"/>
      </w:pPr>
      <w:r>
        <w:rPr>
          <w:rFonts w:ascii="Malgun Gothic" w:cs="Malgun Gothic" w:eastAsia="Malgun Gothic" w:hAnsi="Malgun Gothic"/>
          <w:i w:val="false"/>
          <w:iCs w:val="false"/>
          <w:sz w:val="18"/>
          <w:szCs w:val="18"/>
        </w:rPr>
        <w:t xml:space="preserve">(`directly-reported-IRR` / `-SIR`) are taken verbatim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Each race's 14 age-specific rates were standardized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(e.g., TNBC Black 1.82 [1.70, 1.95],</w:t>
      </w:r>
    </w:p>
    <w:p>
      <w:pPr>
        <w:spacing w:after="80"/>
      </w:pPr>
      <w:r>
        <w:rPr>
          <w:rFonts w:ascii="Malgun Gothic" w:cs="Malgun Gothic" w:eastAsia="Malgun Gothic" w:hAnsi="Malgun Gothic"/>
          <w:i w:val="false"/>
          <w:iCs w:val="false"/>
          <w:sz w:val="18"/>
          <w:szCs w:val="18"/>
        </w:rPr>
        <w:t xml:space="preserve">• HR+/HER2− API 0.69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the IRR remains comparable (a ratio); the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w:t>
      </w:r>
    </w:p>
    <w:p>
      <w:pPr>
        <w:spacing w:after="80"/>
      </w:pPr>
      <w:r>
        <w:rPr>
          <w:rFonts w:ascii="Malgun Gothic" w:cs="Malgun Gothic" w:eastAsia="Malgun Gothic" w:hAnsi="Malgun Gothic"/>
          <w:i w:val="false"/>
          <w:iCs w:val="false"/>
          <w:sz w:val="18"/>
          <w:szCs w:val="18"/>
        </w:rPr>
        <w:t xml:space="preserve">• (Pinheiro 2009). The table gives origin-specific rates and rounded</w:t>
      </w:r>
    </w:p>
    <w:p>
      <w:pPr>
        <w:spacing w:after="80"/>
      </w:pPr>
      <w:r>
        <w:rPr>
          <w:rFonts w:ascii="Malgun Gothic" w:cs="Malgun Gothic" w:eastAsia="Malgun Gothic" w:hAnsi="Malgun Gothic"/>
          <w:i w:val="false"/>
          <w:iCs w:val="false"/>
          <w:sz w:val="18"/>
          <w:szCs w:val="18"/>
        </w:rPr>
        <w:t xml:space="preserve">• IR ratios but not the NHW-Florida rate; a NHW-FL value of ≈143 (2000 US std)</w:t>
      </w:r>
    </w:p>
    <w:p>
      <w:pPr>
        <w:spacing w:after="80"/>
      </w:pPr>
      <w:r>
        <w:rPr>
          <w:rFonts w:ascii="Malgun Gothic" w:cs="Malgun Gothic" w:eastAsia="Malgun Gothic" w:hAnsi="Malgun Gothic"/>
          <w:i w:val="false"/>
          <w:iCs w:val="false"/>
          <w:sz w:val="18"/>
          <w:szCs w:val="18"/>
        </w:rPr>
        <w:t xml:space="preserve">• reproduces the authors' rounded ratios (0.8/0.5/0.8/0.7) and was used as the</w:t>
      </w:r>
    </w:p>
    <w:p>
      <w:pPr>
        <w:spacing w:after="80"/>
      </w:pPr>
      <w:r>
        <w:rPr>
          <w:rFonts w:ascii="Malgun Gothic" w:cs="Malgun Gothic" w:eastAsia="Malgun Gothic" w:hAnsi="Malgun Gothic"/>
          <w:i w:val="false"/>
          <w:iCs w:val="false"/>
          <w:sz w:val="18"/>
          <w:szCs w:val="18"/>
        </w:rPr>
        <w:t xml:space="preserve">• fixed denominator. The CI for each origin group is the origin-rate CI scaled by</w:t>
      </w:r>
    </w:p>
    <w:p>
      <w:pPr>
        <w:spacing w:after="80"/>
      </w:pPr>
      <w:r>
        <w:rPr>
          <w:rFonts w:ascii="Malgun Gothic" w:cs="Malgun Gothic" w:eastAsia="Malgun Gothic" w:hAnsi="Malgun Gothic"/>
          <w:i w:val="false"/>
          <w:iCs w:val="false"/>
          <w:sz w:val="18"/>
          <w:szCs w:val="18"/>
        </w:rPr>
        <w:t xml:space="preserve">• the same denominator.</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the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an in-paper US White reference; Nash 2019 is the</w:t>
      </w:r>
    </w:p>
    <w:p>
      <w:pPr>
        <w:spacing w:after="80"/>
      </w:pPr>
      <w:r>
        <w:rPr>
          <w:rFonts w:ascii="Malgun Gothic" w:cs="Malgun Gothic" w:eastAsia="Malgun Gothic" w:hAnsi="Malgun Gothic"/>
          <w:i w:val="false"/>
          <w:iCs w:val="false"/>
          <w:sz w:val="18"/>
          <w:szCs w:val="18"/>
        </w:rPr>
        <w:t xml:space="preserve">• cell representative and Nash 2022 is a sensitivity/overlap estimate (the 0.95 vs</w:t>
      </w:r>
    </w:p>
    <w:p>
      <w:pPr>
        <w:spacing w:after="80"/>
      </w:pPr>
      <w:r>
        <w:rPr>
          <w:rFonts w:ascii="Malgun Gothic" w:cs="Malgun Gothic" w:eastAsia="Malgun Gothic" w:hAnsi="Malgun Gothic"/>
          <w:i w:val="false"/>
          <w:iCs w:val="false"/>
          <w:sz w:val="18"/>
          <w:szCs w:val="18"/>
        </w:rPr>
        <w:t xml:space="preserve">• 1.09 difference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The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w:t>
      </w:r>
    </w:p>
    <w:p>
      <w:pPr>
        <w:pStyle w:val="Heading2"/>
        <w:spacing w:after="100" w:before="200"/>
      </w:pPr>
      <w:r>
        <w:rPr>
          <w:rFonts w:ascii="Malgun Gothic" w:cs="Malgun Gothic" w:eastAsia="Malgun Gothic" w:hAnsi="Malgun Gothic"/>
          <w:b/>
          <w:bCs/>
          <w:sz w:val="20"/>
          <w:szCs w:val="20"/>
        </w:rPr>
        <w:t xml:space="preserve">6.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and taken as-is. The overall Black</w:t>
      </w:r>
    </w:p>
    <w:p>
      <w:pPr>
        <w:spacing w:after="80"/>
      </w:pPr>
      <w:r>
        <w:rPr>
          <w:rFonts w:ascii="Malgun Gothic" w:cs="Malgun Gothic" w:eastAsia="Malgun Gothic" w:hAnsi="Malgun Gothic"/>
          <w:i w:val="false"/>
          <w:iCs w:val="false"/>
          <w:sz w:val="18"/>
          <w:szCs w:val="18"/>
        </w:rPr>
        <w:t xml:space="preserve">• statement is printed NHW-vs-Black (1.04); it would invert to 0.96 but was left</w:t>
      </w:r>
    </w:p>
    <w:p>
      <w:pPr>
        <w:spacing w:after="80"/>
      </w:pPr>
      <w:r>
        <w:rPr>
          <w:rFonts w:ascii="Malgun Gothic" w:cs="Malgun Gothic" w:eastAsia="Malgun Gothic" w:hAnsi="Malgun Gothic"/>
          <w:i w:val="false"/>
          <w:iCs w:val="false"/>
          <w:sz w:val="18"/>
          <w:szCs w:val="18"/>
        </w:rPr>
        <w:t xml:space="preserve">• unrecorded as ambiguous.</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2026-08-19T12:19:31.834Z</dcterms:created>
  <dcterms:modified xsi:type="dcterms:W3CDTF">2026-08-19T12:19:31.835Z</dcterms:modified>
</cp:coreProperties>
</file>

<file path=docProps/custom.xml><?xml version="1.0" encoding="utf-8"?>
<Properties xmlns="http://schemas.openxmlformats.org/officeDocument/2006/custom-properties" xmlns:vt="http://schemas.openxmlformats.org/officeDocument/2006/docPropsVTypes"/>
</file>