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These categories can mask heterogeneity—subgroups defined by ancestry, nativity, and region, with receptor-defined subtypes cutting across them—so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in several minority groups breast cancer has been reported at younger ages at diagnosis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Some of the lowest reported rates are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have differed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has been reported to differ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to vary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could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may reorder the groups again: NHW women have been reported to have the highest rate of HR+/HER2− disease and NHB women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the group with the highest rate can depend on the subtype considered.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and excluded sets.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219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2–9,11–12,15–52</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SEER-21 period;</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21</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10,36,40,44</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2,20</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49</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color w:val="000000"/>
          <w:sz w:val="24"/>
          <w:szCs w:val="24"/>
          <w:vertAlign w:val="superscript"/>
        </w:rPr>
        <w:t xml:space="preserve">10,44</w:t>
      </w:r>
      <w:r>
        <w:rPr>
          <w:rFonts w:ascii="Times New Roman" w:cs="Times New Roman" w:eastAsia="Times New Roman" w:hAnsi="Times New Roman"/>
          <w:color w:val="000000"/>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34,48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2,29</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color w:val="000000"/>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color w:val="000000"/>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color w:val="000000"/>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color w:val="000000"/>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color w:val="000000"/>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color w:val="000000"/>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color w:val="000000"/>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9c4e27b0248769a0113ef335befbe216a5c0448.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2026-09-16T22:47:50.066Z</dcterms:created>
  <dcterms:modified xsi:type="dcterms:W3CDTF">2026-09-16T22:47:50.066Z</dcterms:modified>
</cp:coreProperties>
</file>

<file path=docProps/custom.xml><?xml version="1.0" encoding="utf-8"?>
<Properties xmlns="http://schemas.openxmlformats.org/officeDocument/2006/custom-properties" xmlns:vt="http://schemas.openxmlformats.org/officeDocument/2006/docPropsVTypes"/>
</file>