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sz w:val="32"/>
          <w:szCs w:val="32"/>
        </w:rPr>
        <w:t xml:space="preserve">Racial and Ethnic Differences in Breast Cancer Incidence in the United States: A Systematic Review with Quantitative Synthesis</w:t>
      </w:r>
    </w:p>
    <w:p>
      <w:pPr>
        <w:pStyle w:val="Heading1"/>
        <w:keepNext/>
        <w:spacing w:after="120" w:line="360"/>
      </w:pPr>
      <w:r>
        <w:rPr>
          <w:rFonts w:ascii="Times New Roman" w:cs="Times New Roman" w:eastAsia="Times New Roman" w:hAnsi="Times New Roman"/>
          <w:b/>
          <w:bCs/>
          <w:sz w:val="28"/>
          <w:szCs w:val="28"/>
        </w:rPr>
        <w:t xml:space="preserve">Abstract</w:t>
      </w:r>
    </w:p>
    <w:p>
      <w:pPr>
        <w:spacing w:after="160" w:line="360"/>
      </w:pPr>
      <w:r>
        <w:rPr>
          <w:rFonts w:ascii="Times New Roman" w:cs="Times New Roman" w:eastAsia="Times New Roman" w:hAnsi="Times New Roman"/>
          <w:b/>
          <w:bCs/>
          <w:sz w:val="24"/>
          <w:szCs w:val="24"/>
        </w:rPr>
        <w:t xml:space="preserve">Background.</w:t>
      </w:r>
      <w:r>
        <w:rPr>
          <w:rFonts w:ascii="Times New Roman" w:cs="Times New Roman" w:eastAsia="Times New Roman" w:hAnsi="Times New Roman"/>
          <w:sz w:val="24"/>
          <w:szCs w:val="24"/>
        </w:rPr>
        <w:t xml:space="preserve"> In the United States, breast cancer incidence is usually reported for broad racial and ethnic categories. Each category is internally diverse—spanning subgroups defined by ancestry, nativity, and region, with receptor-defined subtypes cutting across them—so an aggregate rate does not show which subgroups are at highest and lowest risk. Estimates for these subgroups come from separate cancer-registry studies that differ in populations, periods, and reference groups, so they are not readily comparable across the published literature.</w:t>
      </w:r>
    </w:p>
    <w:p>
      <w:pPr>
        <w:spacing w:after="160" w:line="360"/>
      </w:pPr>
      <w:r>
        <w:rPr>
          <w:rFonts w:ascii="Times New Roman" w:cs="Times New Roman" w:eastAsia="Times New Roman" w:hAnsi="Times New Roman"/>
          <w:b/>
          <w:bCs/>
          <w:sz w:val="24"/>
          <w:szCs w:val="24"/>
        </w:rPr>
        <w:t xml:space="preserve">Methods.</w:t>
      </w:r>
      <w:r>
        <w:rPr>
          <w:rFonts w:ascii="Times New Roman" w:cs="Times New Roman" w:eastAsia="Times New Roman" w:hAnsi="Times New Roman"/>
          <w:sz w:val="24"/>
          <w:szCs w:val="24"/>
        </w:rPr>
        <w:t xml:space="preserve"> Following PRISMA 2020 (PROSPERO CRD42023437049), four databases were searched for U.S. studies of female invasive breast cancer incidence by race or ethnicity; those with a recoverable White comparison, usually non-Hispanic White (NHW), were synthesized quantitatively, the rest narratively. Because registries overlap, one representative estimate per group and dimension was selected, not pooled; for American Indian and Alaska Native (AI/AN) populations, an Indian Health Service–linked estimate was preferred to counter registry undercounting. Each was an incidence rate ratio (IRR) versus NHW women, or versus an unstratified White reference in a minority of cells; ratios not reported directly were recomputed from one master dataset, and risk of bias was assessed with the Joanna Briggs Institute checklist for incidence data.</w:t>
      </w:r>
    </w:p>
    <w:p>
      <w:pPr>
        <w:spacing w:after="160" w:line="360"/>
      </w:pPr>
      <w:r>
        <w:rPr>
          <w:rFonts w:ascii="Times New Roman" w:cs="Times New Roman" w:eastAsia="Times New Roman" w:hAnsi="Times New Roman"/>
          <w:b/>
          <w:bCs/>
          <w:sz w:val="24"/>
          <w:szCs w:val="24"/>
        </w:rPr>
        <w:t xml:space="preserve">Results.</w:t>
      </w:r>
      <w:r>
        <w:rPr>
          <w:rFonts w:ascii="Times New Roman" w:cs="Times New Roman" w:eastAsia="Times New Roman" w:hAnsi="Times New Roman"/>
          <w:sz w:val="24"/>
          <w:szCs w:val="24"/>
        </w:rPr>
        <w:t xml:space="preserve"> Of 4,793 records screened, 166 studies were included—55 eligible for quantitative synthesis and 111 narrative. Overall incidence was lower than NHW in each aggregate group: Hispanic/Latina 0.72, Asian American, Native Hawaiian, and Pacific Islander (AANHPI) 0.77, AI/AN 0.87, and non-Hispanic Black (NHB) 0.93. Within-group estimates ranged widely—0.16 (Hmong) to 1.21 (Native Hawaiian) across AANHPI subgroups, 0.51 (Mexican) to 0.83 (Puerto Rican) by Hispanic origin, and 0.49 (Navajo area) to 1.33 (Southern Plains) across AI/AN regions. For triple-negative breast cancer, incidence was highest in NHB women (1.95).</w:t>
      </w:r>
    </w:p>
    <w:p>
      <w:pPr>
        <w:spacing w:after="160" w:line="360"/>
      </w:pPr>
      <w:r>
        <w:rPr>
          <w:rFonts w:ascii="Times New Roman" w:cs="Times New Roman" w:eastAsia="Times New Roman" w:hAnsi="Times New Roman"/>
          <w:b/>
          <w:bCs/>
          <w:sz w:val="24"/>
          <w:szCs w:val="24"/>
        </w:rPr>
        <w:t xml:space="preserve">Conclusions.</w:t>
      </w:r>
      <w:r>
        <w:rPr>
          <w:rFonts w:ascii="Times New Roman" w:cs="Times New Roman" w:eastAsia="Times New Roman" w:hAnsi="Times New Roman"/>
          <w:sz w:val="24"/>
          <w:szCs w:val="24"/>
        </w:rPr>
        <w:t xml:space="preserve"> At the aggregate level, these categories summarize overall differences but not the variation among their subgroups, several of which reach or exceed the NHW rate. This descriptive review compares incidence, not its causes.</w:t>
      </w:r>
    </w:p>
    <w:p>
      <w:pPr>
        <w:pStyle w:val="Heading1"/>
        <w:keepNext/>
        <w:spacing w:after="120" w:line="360"/>
      </w:pPr>
      <w:r>
        <w:rPr>
          <w:rFonts w:ascii="Times New Roman" w:cs="Times New Roman" w:eastAsia="Times New Roman" w:hAnsi="Times New Roman"/>
          <w:b/>
          <w:bCs/>
          <w:sz w:val="28"/>
          <w:szCs w:val="28"/>
        </w:rPr>
        <w:t xml:space="preserve">Introduction</w:t>
      </w:r>
    </w:p>
    <w:p>
      <w:pPr>
        <w:spacing w:after="160" w:line="360"/>
      </w:pPr>
      <w:r>
        <w:rPr>
          <w:rFonts w:ascii="Times New Roman" w:cs="Times New Roman" w:eastAsia="Times New Roman" w:hAnsi="Times New Roman"/>
          <w:sz w:val="24"/>
          <w:szCs w:val="24"/>
        </w:rPr>
        <w:t xml:space="preserve">Breast cancer is the most commonly diagnosed cancer in U.S. women and a leading cause of cancer death.</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Its rates are not the same across racial and ethnic groups. In the American Cancer Society's 2024 report, non-Hispanic Black (NHB) women had breast cancer incidence about 5% lower than non-Hispanic White (NHW) women but 38% higher mortality.</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NHB women also have the highest rate of triple-negative breast cancer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and their tumors, like those in several other minority groups, are diagnosed at younger ages than in NHW women.</w:t>
      </w:r>
      <w:r>
        <w:rPr>
          <w:rFonts w:ascii="Times New Roman" w:cs="Times New Roman" w:eastAsia="Times New Roman" w:hAnsi="Times New Roman"/>
          <w:sz w:val="24"/>
          <w:szCs w:val="24"/>
          <w:vertAlign w:val="superscript"/>
        </w:rPr>
        <w:t xml:space="preserve">3</w:t>
      </w:r>
    </w:p>
    <w:p>
      <w:pPr>
        <w:spacing w:after="160" w:line="360"/>
      </w:pPr>
      <w:r>
        <w:rPr>
          <w:rFonts w:ascii="Times New Roman" w:cs="Times New Roman" w:eastAsia="Times New Roman" w:hAnsi="Times New Roman"/>
          <w:sz w:val="24"/>
          <w:szCs w:val="24"/>
        </w:rPr>
        <w:t xml:space="preserve">Race and ethnicity are recorded in a few broad categories, and rates differ within each. The AANHPI category—Asian American, Native Hawaiian, and Pacific Islander—is a clear example. Treated as one population its incidence sits well below that of NHW women, but that single number covers a wide spread. Using California registry data, Gomez and colleagues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reported an incidence of 146 per 100,000 in NHW women and, within Asian American women, a more-than-twofold spread across ethnic groups—from about 103 per 100,000 in Japanese to 46 in Korean women—that widened with US nativity, the rate in US-born Filipina women surpassing that of NHW women. The lowest rates fall among Southeast Asian groups such as the Hmong,</w:t>
      </w:r>
      <w:r>
        <w:rPr>
          <w:rFonts w:ascii="Times New Roman" w:cs="Times New Roman" w:eastAsia="Times New Roman" w:hAnsi="Times New Roman"/>
          <w:sz w:val="24"/>
          <w:szCs w:val="24"/>
          <w:vertAlign w:val="superscript"/>
        </w:rPr>
        <w:t xml:space="preserve">6</w:t>
      </w:r>
      <w:r>
        <w:rPr>
          <w:rFonts w:ascii="Times New Roman" w:cs="Times New Roman" w:eastAsia="Times New Roman" w:hAnsi="Times New Roman"/>
          <w:sz w:val="24"/>
          <w:szCs w:val="24"/>
        </w:rPr>
        <w:t xml:space="preserve"> and rates differ again across the individual Asian ethnicities followed over time.</w:t>
      </w:r>
      <w:r>
        <w:rPr>
          <w:rFonts w:ascii="Times New Roman" w:cs="Times New Roman" w:eastAsia="Times New Roman" w:hAnsi="Times New Roman"/>
          <w:sz w:val="24"/>
          <w:szCs w:val="24"/>
          <w:vertAlign w:val="superscript"/>
        </w:rPr>
        <w:t xml:space="preserve">7</w:t>
      </w:r>
      <w:r>
        <w:rPr>
          <w:rFonts w:ascii="Times New Roman" w:cs="Times New Roman" w:eastAsia="Times New Roman" w:hAnsi="Times New Roman"/>
          <w:sz w:val="24"/>
          <w:szCs w:val="24"/>
        </w:rPr>
        <w:t xml:space="preserve"> Hispanic/Latina women are not one group either: incidence differs by country of origin,</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and among California Hispanic women it varies further with nativity and neighborhood.</w:t>
      </w:r>
      <w:r>
        <w:rPr>
          <w:rFonts w:ascii="Times New Roman" w:cs="Times New Roman" w:eastAsia="Times New Roman" w:hAnsi="Times New Roman"/>
          <w:sz w:val="24"/>
          <w:szCs w:val="24"/>
          <w:vertAlign w:val="superscript"/>
        </w:rPr>
        <w:t xml:space="preserve">9</w:t>
      </w:r>
      <w:r>
        <w:rPr>
          <w:rFonts w:ascii="Times New Roman" w:cs="Times New Roman" w:eastAsia="Times New Roman" w:hAnsi="Times New Roman"/>
          <w:sz w:val="24"/>
          <w:szCs w:val="24"/>
        </w:rPr>
        <w:t xml:space="preserve"> For American Indian and Alaska Native (AI/AN) women, the aggregate rate also depends on how race is ascertained: registries that assign race by observation misclassify and undercount many AI/AN cases, so an unlinked-registry rate understates their true incidence.</w:t>
      </w:r>
      <w:r>
        <w:rPr>
          <w:rFonts w:ascii="Times New Roman" w:cs="Times New Roman" w:eastAsia="Times New Roman" w:hAnsi="Times New Roman"/>
          <w:sz w:val="24"/>
          <w:szCs w:val="24"/>
          <w:vertAlign w:val="superscript"/>
        </w:rPr>
        <w:t xml:space="preserve">10</w:t>
      </w:r>
      <w:r>
        <w:rPr>
          <w:rFonts w:ascii="Times New Roman" w:cs="Times New Roman" w:eastAsia="Times New Roman" w:hAnsi="Times New Roman"/>
          <w:sz w:val="24"/>
          <w:szCs w:val="24"/>
        </w:rPr>
        <w:t xml:space="preserve"> Subtype rearranges the order once more: NHW women have the highest rate of HR+/HER2− disease while NHB women have the highest rate of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so which group ranks highest depends on the tumor being counted.</w:t>
      </w:r>
    </w:p>
    <w:p>
      <w:pPr>
        <w:spacing w:after="160" w:line="360"/>
      </w:pPr>
      <w:r>
        <w:rPr>
          <w:rFonts w:ascii="Times New Roman" w:cs="Times New Roman" w:eastAsia="Times New Roman" w:hAnsi="Times New Roman"/>
          <w:sz w:val="24"/>
          <w:szCs w:val="24"/>
        </w:rPr>
        <w:t xml:space="preserve">These estimates are dispersed across separate studies. They are drawn from cancer registries whose populations overlap, and from different periods, age-standardization methods, and reference groups—some studies comparing against White women, others specifically against NHW women. Because many draw on the same or nested registry populations, their estimates are not independent, and combining them directly counts some women more than once. Comparing them therefore calls for gathering the disaggregated estimates across registries, collapsing the overlapping ones, and appraising the quality of what remains.</w:t>
      </w:r>
    </w:p>
    <w:p>
      <w:pPr>
        <w:spacing w:after="160" w:line="360"/>
      </w:pPr>
      <w:r>
        <w:rPr>
          <w:rFonts w:ascii="Times New Roman" w:cs="Times New Roman" w:eastAsia="Times New Roman" w:hAnsi="Times New Roman"/>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The main analysis retains one representative population-based estimate per registry family,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sz w:val="28"/>
          <w:szCs w:val="28"/>
        </w:rPr>
        <w:t xml:space="preserve">Methods</w:t>
      </w:r>
    </w:p>
    <w:p>
      <w:pPr>
        <w:pStyle w:val="Heading2"/>
        <w:keepNext/>
        <w:spacing w:after="80" w:line="360"/>
      </w:pPr>
      <w:r>
        <w:rPr>
          <w:rFonts w:ascii="Times New Roman" w:cs="Times New Roman" w:eastAsia="Times New Roman" w:hAnsi="Times New Roman"/>
          <w:b/>
          <w:bCs/>
          <w:sz w:val="24"/>
          <w:szCs w:val="24"/>
        </w:rPr>
        <w:t xml:space="preserve">Protocol and reporting</w:t>
      </w:r>
    </w:p>
    <w:p>
      <w:pPr>
        <w:spacing w:after="160" w:line="360"/>
      </w:pPr>
      <w:r>
        <w:rPr>
          <w:rFonts w:ascii="Times New Roman" w:cs="Times New Roman" w:eastAsia="Times New Roman" w:hAnsi="Times New Roman"/>
          <w:sz w:val="24"/>
          <w:szCs w:val="24"/>
        </w:rPr>
        <w:t xml:space="preserve">The review followed the Preferred Reporting Items for Systematic Reviews and Meta-Analyses (PRISMA) 2020 statement</w:t>
      </w:r>
      <w:r>
        <w:rPr>
          <w:rFonts w:ascii="Times New Roman" w:cs="Times New Roman" w:eastAsia="Times New Roman" w:hAnsi="Times New Roman"/>
          <w:sz w:val="24"/>
          <w:szCs w:val="24"/>
          <w:vertAlign w:val="superscript"/>
        </w:rPr>
        <w:t xml:space="preserve">13</w:t>
      </w:r>
      <w:r>
        <w:rPr>
          <w:rFonts w:ascii="Times New Roman" w:cs="Times New Roman" w:eastAsia="Times New Roman" w:hAnsi="Times New Roman"/>
          <w:sz w:val="24"/>
          <w:szCs w:val="24"/>
        </w:rPr>
        <w:t xml:space="preserve"> and was registered in PROSPERO (CRD42023437049). The registered protocol pre-specified the research question, the databases and search strategy, the eligibility criteria, the plan to handle overlapping registry data, and the split of eligible studies into a quantitative and a narrative synthesis. Several elements were developed or refined after registration and are reported here as deviations from the protocol: the analytic-cell framework with one representative population-based estimate per cell (in place of statistical pooling of non-independent registry estimates); the provenance tiering and the coverage-based rule for choosing a representative, including the preference for Indian Health Service (IHS)–linked sources for AI/AN populations; the receptor-defined subtype and age-band cells; the four restriction-based sensitivity analyses; and the reclassification of four reports from the narrative to the quantitative synthesis after their source tables were re-verified as page images.</w:t>
      </w:r>
    </w:p>
    <w:p>
      <w:pPr>
        <w:pStyle w:val="Heading2"/>
        <w:keepNext/>
        <w:spacing w:after="80" w:line="360"/>
      </w:pPr>
      <w:r>
        <w:rPr>
          <w:rFonts w:ascii="Times New Roman" w:cs="Times New Roman" w:eastAsia="Times New Roman" w:hAnsi="Times New Roman"/>
          <w:b/>
          <w:bCs/>
          <w:sz w:val="24"/>
          <w:szCs w:val="24"/>
        </w:rPr>
        <w:t xml:space="preserve">Search strategy</w:t>
      </w:r>
    </w:p>
    <w:p>
      <w:pPr>
        <w:spacing w:after="160" w:line="360"/>
      </w:pPr>
      <w:r>
        <w:rPr>
          <w:rFonts w:ascii="Times New Roman" w:cs="Times New Roman" w:eastAsia="Times New Roman" w:hAnsi="Times New Roman"/>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Identification was via these databases only; no registers were searched, and reference lists (citation searching) and grey-literature sources were not used.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sz w:val="24"/>
          <w:szCs w:val="24"/>
        </w:rPr>
        <w:t xml:space="preserve">Eligibility criteria</w:t>
      </w:r>
    </w:p>
    <w:p>
      <w:pPr>
        <w:spacing w:after="160" w:line="360"/>
      </w:pPr>
      <w:r>
        <w:rPr>
          <w:rFonts w:ascii="Times New Roman" w:cs="Times New Roman" w:eastAsia="Times New Roman" w:hAnsi="Times New Roman"/>
          <w:sz w:val="24"/>
          <w:szCs w:val="24"/>
        </w:rPr>
        <w:t xml:space="preserve">Studies were eligible for inclusion if they reported invasive breast cancer incidence among women in the United States for at least one racial or ethnic group. Each included study was then assigned to one of two synthesis streams by whether a comparison with a White reference could be recovered. A study entered the </w:t>
      </w:r>
      <w:r>
        <w:rPr>
          <w:rFonts w:ascii="Times New Roman" w:cs="Times New Roman" w:eastAsia="Times New Roman" w:hAnsi="Times New Roman"/>
          <w:b/>
          <w:bCs/>
          <w:sz w:val="24"/>
          <w:szCs w:val="24"/>
        </w:rPr>
        <w:t xml:space="preserve">quantitative synthesis</w:t>
      </w:r>
      <w:r>
        <w:rPr>
          <w:rFonts w:ascii="Times New Roman" w:cs="Times New Roman" w:eastAsia="Times New Roman" w:hAnsi="Times New Roman"/>
          <w:sz w:val="24"/>
          <w:szCs w:val="24"/>
        </w:rPr>
        <w:t xml:space="preserve"> when it expressed incidence relative to a White or NHW comparator—as an IRR or standardized incidence ratio (SIR), or as age-standardized minority and White rates from which a ratio could be computed. A study that met the inclusion criteria but did not yield such a recoverable White comparison—reporting, for example, only age-specific or trend data, rates for a single group, or a reference group that was internal or other than White—was carried in the </w:t>
      </w:r>
      <w:r>
        <w:rPr>
          <w:rFonts w:ascii="Times New Roman" w:cs="Times New Roman" w:eastAsia="Times New Roman" w:hAnsi="Times New Roman"/>
          <w:b/>
          <w:bCs/>
          <w:sz w:val="24"/>
          <w:szCs w:val="24"/>
        </w:rPr>
        <w:t xml:space="preserve">narrative synthesis</w:t>
      </w:r>
      <w:r>
        <w:rPr>
          <w:rFonts w:ascii="Times New Roman" w:cs="Times New Roman" w:eastAsia="Times New Roman" w:hAnsi="Times New Roman"/>
          <w:sz w:val="24"/>
          <w:szCs w:val="24"/>
        </w:rPr>
        <w:t xml:space="preserve">. Both aggregate groups and disaggregated subgroups (Asian American, Native Hawaiian and Pacific Islander, Hispanic/Latina by origin, and AI/AN by region) and receptor-defined molecular subtypes were eligible. The reference group was recorded as each study defined it; studies that stratified the reference by Hispanic origin were treated as NHW and those using an unstratified White reference were labelled accordingly, and both were retained because the reference and minority rates came from the same source. The review was limited to U.S.-resident populations. Reviews, editorials, letters, conference abstracts, preprints (not peer-reviewed), non-U.S. studies, reports that did not present invasive female breast cancer incidence by race or ethnicity, and mortality- or survival-only reports were excluded. A publication that re-reported an estimate already captured from the same registry, diagnosis period, and population was excluded as a duplicate dataset; a publication drawing on the same registry family but a different period, region, or subset provided a distinct estimate and was retained as an overlapping estimate for the sensitivity analysis, not excluded (overlap handling is described under representative selection).</w:t>
      </w:r>
    </w:p>
    <w:p>
      <w:pPr>
        <w:pStyle w:val="Heading2"/>
        <w:keepNext/>
        <w:spacing w:after="80" w:line="360"/>
      </w:pPr>
      <w:r>
        <w:rPr>
          <w:rFonts w:ascii="Times New Roman" w:cs="Times New Roman" w:eastAsia="Times New Roman" w:hAnsi="Times New Roman"/>
          <w:b/>
          <w:bCs/>
          <w:sz w:val="24"/>
          <w:szCs w:val="24"/>
        </w:rPr>
        <w:t xml:space="preserve">Study selection and data extraction</w:t>
      </w:r>
    </w:p>
    <w:p>
      <w:pPr>
        <w:spacing w:after="160" w:line="360"/>
      </w:pPr>
      <w:r>
        <w:rPr>
          <w:rFonts w:ascii="Times New Roman" w:cs="Times New Roman" w:eastAsia="Times New Roman" w:hAnsi="Times New Roman"/>
          <w:sz w:val="24"/>
          <w:szCs w:val="24"/>
        </w:rPr>
        <w:t xml:space="preserve">Records were de-duplicated across databases (4,306 duplicates removed, leaving 4,793 unique records). Titles and abstracts were screened against the pre-specified eligibility criteria by a large language model (Anthropic's Claude) under the author's direction: the model applied the criteria to each record and proposed an include/exclude decision, and the author adjudicated the included set and a sample of the excluded set. To check the screening for false negatives, a random sample of 200 model-excluded records was re-screened (reproducible seed)—each title, its recorded exclusion reason, and, where the record concerned breast cancer incidence by race, its abstract and full text—and the whole excluded set was then scanned for the signature this sample revealed. The audit identified three wrongly excluded studies, all neighborhood- or segregation-focused reports that nonetheless tabulated race-specific incidence; each was added to the quantitative synthesis as a single-state or regional overlap, and none changed a cell representative. The full audit, with the records checked and the reasons retained, is in Supplementary Note 2. The author then obtained and read the full texts and made all full-text eligibility and inclusion decisions personally—except for one report available only as a supplementary data table rather than a full article, which was assessed from that table and enters only the narrative synthesis (distinct from the nine reports not retrieved at all). The model assisted data extraction and cross-checked each extracted value against its source, and every included estimate was verified by the author against the source table, figure, or text; this verification moved four reports first placed in the narrative set to the quantitative synthesis (Supplementary Note 2), all contributing overlapping or age-specific estimates rather than displacing the national representatives. In all, 166 publications were included in the systematic review; of these, 55 were eligible for quantitative synthesis and the remaining 111 informed the narrative synthesis. Most included studies were population-based registry or incidence studies rather than cohort studies (Supplementary Table 2).</w:t>
      </w:r>
    </w:p>
    <w:p>
      <w:pPr>
        <w:spacing w:after="160" w:line="360"/>
      </w:pPr>
      <w:r>
        <w:rPr>
          <w:rFonts w:ascii="Times New Roman" w:cs="Times New Roman" w:eastAsia="Times New Roman" w:hAnsi="Times New Roman"/>
          <w:sz w:val="24"/>
          <w:szCs w:val="24"/>
        </w:rPr>
        <w:t xml:space="preserve">These registries form several overlapping systems: the Surveillance, Epidemiology, and End Results (SEER) program collects incidence data from selected states and metropolitan areas; the National Program of Cancer Registries (NPCR) covers registries across the remaining states; United States Cancer Statistics (USCS) pools SEER and NPCR to reach almost the entire U.S. population; the North American Association of Central Cancer Registries (NAACCR) compiles data across member registries; IHS-linked files provide case ascertainment for AI/AN populations; and individual state or regional registries (for example, California and Hawaii) cover single areas.</w:t>
      </w:r>
    </w:p>
    <w:p>
      <w:pPr>
        <w:spacing w:after="160" w:line="360"/>
      </w:pPr>
      <w:r>
        <w:rPr>
          <w:rFonts w:ascii="Times New Roman" w:cs="Times New Roman" w:eastAsia="Times New Roman" w:hAnsi="Times New Roman"/>
          <w:sz w:val="24"/>
          <w:szCs w:val="24"/>
        </w:rPr>
        <w:t xml:space="preserve">From each study contributing quantitative data we extracted the cancer registry, geographic coverage, diagnosis period, age range, standard population, racial or ethnic group and comparator, outcome (overall or subtype), the reported estimate, and its confidence interval. Each estimate was labelled by provenance—directly reported IRR or SIR, computed from reported rates (with a reported or Poisson-derived variance), or read from a figure—and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sz w:val="24"/>
          <w:szCs w:val="24"/>
        </w:rPr>
        <w:t xml:space="preserve">Selection of a representative population-based estimate</w:t>
      </w:r>
    </w:p>
    <w:p>
      <w:pPr>
        <w:spacing w:after="160" w:line="360"/>
      </w:pPr>
      <w:r>
        <w:rPr>
          <w:rFonts w:ascii="Times New Roman" w:cs="Times New Roman" w:eastAsia="Times New Roman" w:hAnsi="Times New Roman"/>
          <w:sz w:val="24"/>
          <w:szCs w:val="24"/>
        </w:rPr>
        <w:t xml:space="preserve">Because SEER and NPCR both feed USCS and many registries report into more than one of these systems, estimates from different publications that draw on the same or nested populations are not statistically independent. Rather than pool such non-independent estimates, the analytic unit was the </w:t>
      </w:r>
      <w:r>
        <w:rPr>
          <w:rFonts w:ascii="Times New Roman" w:cs="Times New Roman" w:eastAsia="Times New Roman" w:hAnsi="Times New Roman"/>
          <w:b/>
          <w:bCs/>
          <w:sz w:val="24"/>
          <w:szCs w:val="24"/>
        </w:rPr>
        <w:t xml:space="preserve">analytic cell</w:t>
      </w:r>
      <w:r>
        <w:rPr>
          <w:rFonts w:ascii="Times New Roman" w:cs="Times New Roman" w:eastAsia="Times New Roman" w:hAnsi="Times New Roman"/>
          <w:sz w:val="24"/>
          <w:szCs w:val="24"/>
        </w:rPr>
        <w:t xml:space="preserve">—each racial or ethnic group crossed with one analytic dimension (overall incidence, a disaggregated subgroup, a receptor-defined subtype, or an age band)—and one </w:t>
      </w:r>
      <w:r>
        <w:rPr>
          <w:rFonts w:ascii="Times New Roman" w:cs="Times New Roman" w:eastAsia="Times New Roman" w:hAnsi="Times New Roman"/>
          <w:b/>
          <w:bCs/>
          <w:sz w:val="24"/>
          <w:szCs w:val="24"/>
        </w:rPr>
        <w:t xml:space="preserve">representative population-based estimate</w:t>
      </w:r>
      <w:r>
        <w:rPr>
          <w:rFonts w:ascii="Times New Roman" w:cs="Times New Roman" w:eastAsia="Times New Roman" w:hAnsi="Times New Roman"/>
          <w:sz w:val="24"/>
          <w:szCs w:val="24"/>
        </w:rPr>
        <w:t xml:space="preserve"> was selected for each cell. Each estimate was assigned to a registry "family," and the registry, region, diagnosis period, age range, group, and outcome of each study were tabulated so that overlaps within a cell could be seen (Supplementary Table 4). Within a cell, the representative was chosen by applying, in order: the broadest population coverage (USCS &gt; NAACCR &gt; SEER-national &gt; state or regional), then a NHW (rather than an unstratified White) comparator, then the most recent and longest diagnosis period, a clearly documented age-standardization, and a directly reported confidence interval where available. Where a cell had no NHW-comparator source—the receptor-defined subtype cells and two age-specific Black cells—the estimate using an unstratified White comparator was kept as the representative and marked †. For AI/AN populations this order was overridden in favour of ascertainment validity: because unlinked registries misclassify race and undercount this population, an estimate with Indian Health Service–based ascertainment—the IHS-PRCDA linkage, or a dedicated registry such as the Alaska Native Tumor Registry—was preferred over an unlinked-registry estimate for the same cell, ahead of both the coverage and the comparator-type preferences. For Alaska Native women, for example, this ascertainment-preferred source—the IHS-eligibility-based Alaska Native Tumor Registry—reports against an unstratified White reference rather than NHW; it was kept as the representative because completeness of ascertainment took priority over comparator type, and its NHW-comparator alternative was carried in the sensitivity analysis. Overall, disaggregated-subgroup, subtype, and age-specific results could draw on different studies, but the same registry data were not entered twice for the same question. The stability of the selection was checked in four ways: restricting to studies at low risk of bias, to directly reported (rather than computed) estimates, to estimates with an NHW (rather than unstratified White) comparator, and to estimates standardized to the 2000 U.S. standard population (Supplementary Table 6).</w:t>
      </w:r>
    </w:p>
    <w:p>
      <w:pPr>
        <w:pStyle w:val="Heading2"/>
        <w:keepNext/>
        <w:spacing w:after="80" w:line="360"/>
      </w:pPr>
      <w:r>
        <w:rPr>
          <w:rFonts w:ascii="Times New Roman" w:cs="Times New Roman" w:eastAsia="Times New Roman" w:hAnsi="Times New Roman"/>
          <w:b/>
          <w:bCs/>
          <w:sz w:val="24"/>
          <w:szCs w:val="24"/>
        </w:rPr>
        <w:t xml:space="preserve">Risk of bias</w:t>
      </w:r>
    </w:p>
    <w:p>
      <w:pPr>
        <w:spacing w:after="160" w:line="360"/>
      </w:pPr>
      <w:r>
        <w:rPr>
          <w:rFonts w:ascii="Times New Roman" w:cs="Times New Roman" w:eastAsia="Times New Roman" w:hAnsi="Times New Roman"/>
          <w:sz w:val="24"/>
          <w:szCs w:val="24"/>
        </w:rPr>
        <w:t xml:space="preserve">Risk of bias was assessed with the Joanna Briggs Institute (JBI) critical appraisal checklist for studies reporting prevalence/incidence data,</w:t>
      </w:r>
      <w:r>
        <w:rPr>
          <w:rFonts w:ascii="Times New Roman" w:cs="Times New Roman" w:eastAsia="Times New Roman" w:hAnsi="Times New Roman"/>
          <w:sz w:val="24"/>
          <w:szCs w:val="24"/>
          <w:vertAlign w:val="superscript"/>
        </w:rPr>
        <w:t xml:space="preserve">14</w:t>
      </w:r>
      <w:r>
        <w:rPr>
          <w:rFonts w:ascii="Times New Roman" w:cs="Times New Roman" w:eastAsia="Times New Roman" w:hAnsi="Times New Roman"/>
          <w:sz w:val="24"/>
          <w:szCs w:val="24"/>
        </w:rPr>
        <w:t xml:space="preserve"> applied to each of the 55 extracted studies by the author (a single assessor) with large-language-model assistance (Supplementary Table 5). Item 9 (survey response rate) was recorded as not applicable, census-like registry ascertainment having no response rate, so each study's rating used the eight applicable items: low risk of bias required at most one "No" with a "Yes" on the two key items—valid measurement (item 7, including race and ethnicity ascertainment) and appropriate analysis (item 8, age standardization with a variance); three or more "No" ratings gave high risk of bias, and any other combination a moderate rating. Certainty of evidence was not graded, the review being descriptive rather than an estimate of a causal effect.</w:t>
      </w:r>
    </w:p>
    <w:p>
      <w:pPr>
        <w:pStyle w:val="Heading2"/>
        <w:keepNext/>
        <w:spacing w:after="80" w:line="360"/>
      </w:pPr>
      <w:r>
        <w:rPr>
          <w:rFonts w:ascii="Times New Roman" w:cs="Times New Roman" w:eastAsia="Times New Roman" w:hAnsi="Times New Roman"/>
          <w:b/>
          <w:bCs/>
          <w:sz w:val="24"/>
          <w:szCs w:val="24"/>
        </w:rPr>
        <w:t xml:space="preserve">Statistical analysis</w:t>
      </w:r>
    </w:p>
    <w:p>
      <w:pPr>
        <w:spacing w:after="160" w:line="360"/>
      </w:pPr>
      <w:r>
        <w:rPr>
          <w:rFonts w:ascii="Times New Roman" w:cs="Times New Roman" w:eastAsia="Times New Roman" w:hAnsi="Times New Roman"/>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when both rates carried an interval, or by scaling the minority-rate interval when the reference rate was a fixed population benchmark without a reported interval. Where a source gave the rates and the underlying case counts but no rate interval, the interval was approximated from the counts on a Poisson assumption (SE(log IRR) = √(1/D_minority + 1/D_NHW), D = cases); this approximation treats the age-standardized rate as though its variance were that of the total case count and so does not fully reflect the age-specific weighting, and it was used only where the source reported neither a rate standard error nor a rate interval (four aggregate estimates and two small single-group rates). Where even the case count was unavailable, the estimate was carried as a point estimate without a confidence interval. Each representative therefore rested on a directly reported ratio or on minority and reference rates from the same source. One source reported a standardized incidence ratio (SIR) rather than an IRR (South Asian women against a US White standard); because an SIR indirectly standardizes to the reference population's age structure rather than expressing two directly standardized rates on a common standard, it was read on the same relative-to-White scale but labelled as an SIR (Supplementary Table 4) and excluded from the directly-reported-IRR sensitivity analysis. The standard population was recorded as each source stated it—2000 US for most, with a 1970 world or 1970 US standard in a few older studies and the 1960 Segi world standard in one; SEER*Stat and USCS age-adjusted rates use the 2000 US standard by default, and that default was recorded where a study reported rates from those programs without naming a standard. Where a source neither stated a standard population nor produced its rates through such a program (one small-area Bayesian analysis), the standard was recorded as not stated rather than inferred from the size of the rates. One estimate paired an Alaska Native rate with an external SEER-Explorer NHW reference, its source having reported no in-paper White comparator; it was retained only as an overlap record, not as a representative. For the non-independence reason given above, these estimates were not combined into a pooled random-effects estimate; the primary result for each group is the representative population-based estimate, and the analysis presents the racial and ethnic differences and the subgroup heterogeneity group by group rather than as a single pooled value. Studies that met the inclusion criteria but did not provide a recoverable NHW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sz w:val="24"/>
          <w:szCs w:val="24"/>
        </w:rPr>
        <w:t xml:space="preserve">All quantitative results were generated from a single master extraction dataset: the main-text table, the forest figures, and the sensitivity tables were all regenerated from it and cross-checked so that each displayed estimate and each sensitivity baseline traces to the same underlying value.</w:t>
      </w:r>
    </w:p>
    <w:p>
      <w:pPr>
        <w:pStyle w:val="Heading1"/>
        <w:keepNext/>
        <w:spacing w:after="120" w:line="360"/>
      </w:pPr>
      <w:r>
        <w:rPr>
          <w:rFonts w:ascii="Times New Roman" w:cs="Times New Roman" w:eastAsia="Times New Roman" w:hAnsi="Times New Roman"/>
          <w:b/>
          <w:bCs/>
          <w:sz w:val="28"/>
          <w:szCs w:val="28"/>
        </w:rPr>
        <w:t xml:space="preserve">Results</w:t>
      </w:r>
    </w:p>
    <w:p>
      <w:pPr>
        <w:pStyle w:val="Heading2"/>
        <w:keepNext/>
        <w:spacing w:after="80" w:line="360"/>
      </w:pPr>
      <w:r>
        <w:rPr>
          <w:rFonts w:ascii="Times New Roman" w:cs="Times New Roman" w:eastAsia="Times New Roman" w:hAnsi="Times New Roman"/>
          <w:b/>
          <w:bCs/>
          <w:sz w:val="24"/>
          <w:szCs w:val="24"/>
        </w:rPr>
        <w:t xml:space="preserve">Selection and characteristics of included studies</w:t>
      </w:r>
    </w:p>
    <w:p>
      <w:pPr>
        <w:spacing w:after="160" w:line="360"/>
      </w:pPr>
      <w:r>
        <w:rPr>
          <w:rFonts w:ascii="Times New Roman" w:cs="Times New Roman" w:eastAsia="Times New Roman" w:hAnsi="Times New Roman"/>
          <w:sz w:val="24"/>
          <w:szCs w:val="24"/>
        </w:rPr>
        <w:t xml:space="preserve">The four databases returned 9,099 records; 4,306 duplicates were removed, leaving 4,793 unique records for title and abstract screening. Full text was sought for 246 reports; 9 could not be retrieved, and of the 237 assessed, 71 were excluded (reasons in Supplementary Table 3), giving 166 included studies (Figure 1). Of these, 55 were eligible for quantitative synthesis and entered the analysis, contributing 206 individual estimates across racial/ethnic groups and analytic dimensions</w:t>
      </w:r>
      <w:r>
        <w:rPr>
          <w:rFonts w:ascii="Times New Roman" w:cs="Times New Roman" w:eastAsia="Times New Roman" w:hAnsi="Times New Roman"/>
          <w:sz w:val="24"/>
          <w:szCs w:val="24"/>
          <w:vertAlign w:val="superscript"/>
        </w:rPr>
        <w:t xml:space="preserve">2–9,11–12,15–52</w:t>
      </w:r>
      <w:r>
        <w:rPr>
          <w:rFonts w:ascii="Times New Roman" w:cs="Times New Roman" w:eastAsia="Times New Roman" w:hAnsi="Times New Roman"/>
          <w:sz w:val="24"/>
          <w:szCs w:val="24"/>
        </w:rPr>
        <w:t xml:space="preserve">—24 supplied a cell representative, and the remainder contributed overlapping estimates carried only in the sensitivity analysis; the remaining 111 informed the narrative synthesis (166 = 55 + 111). The extracted studies were published between 2002 and 2026 and drew on SEER, NPCR and USCS, NAACCR, IHS-linked and tribal registries, and individual state or regional registries (Supplementary Table 2). After collapsing overlapping registry-family estimates, 83 representative estimates remained, one per analytic cell; all are listed in Supplementary Table 4, and the principal comparisons—overall incidence, the disaggregated AANHPI and Hispanic-origin subgroups, AI/AN by region, Middle Eastern populations, and TNBC—are shown in Table 1. The reference group was NHW in most studies and an unstratified White group in a minority (marked †; Supplementary Table 4).</w:t>
      </w:r>
    </w:p>
    <w:p>
      <w:pPr>
        <w:pStyle w:val="Heading2"/>
        <w:keepNext/>
        <w:spacing w:after="80" w:line="360"/>
      </w:pPr>
      <w:r>
        <w:rPr>
          <w:rFonts w:ascii="Times New Roman" w:cs="Times New Roman" w:eastAsia="Times New Roman" w:hAnsi="Times New Roman"/>
          <w:b/>
          <w:bCs/>
          <w:sz w:val="24"/>
          <w:szCs w:val="24"/>
        </w:rPr>
        <w:t xml:space="preserve">Overall invasive breast cancer incidence</w:t>
      </w:r>
    </w:p>
    <w:p>
      <w:pPr>
        <w:spacing w:after="160" w:line="360"/>
      </w:pPr>
      <w:r>
        <w:rPr>
          <w:rFonts w:ascii="Times New Roman" w:cs="Times New Roman" w:eastAsia="Times New Roman" w:hAnsi="Times New Roman"/>
          <w:sz w:val="24"/>
          <w:szCs w:val="24"/>
        </w:rPr>
        <w:t xml:space="preserve">Relative to NHW women, overall invasive breast cancer incidence was lower in each aggregate minority group: Hispanic/Latina women IRR 0.72 (95% CI 0.71–0.73), the AANHPI aggregate 0.77 (0.75–0.79), AI/AN women 0.87 (a point estimate; the Indian Health Service–linked national source reported no confidence interval), and NHB women 0.93 (0.92–0.95) (Table 1; Figure 2).</w:t>
      </w:r>
    </w:p>
    <w:p>
      <w:pPr>
        <w:pStyle w:val="Heading2"/>
        <w:keepNext/>
        <w:spacing w:after="80" w:line="360"/>
      </w:pPr>
      <w:r>
        <w:rPr>
          <w:rFonts w:ascii="Times New Roman" w:cs="Times New Roman" w:eastAsia="Times New Roman" w:hAnsi="Times New Roman"/>
          <w:b/>
          <w:bCs/>
          <w:sz w:val="24"/>
          <w:szCs w:val="24"/>
        </w:rPr>
        <w:t xml:space="preserve">Disaggregated AANHPI subgroups</w:t>
      </w:r>
    </w:p>
    <w:p>
      <w:pPr>
        <w:spacing w:after="160" w:line="360"/>
      </w:pPr>
      <w:r>
        <w:rPr>
          <w:rFonts w:ascii="Times New Roman" w:cs="Times New Roman" w:eastAsia="Times New Roman" w:hAnsi="Times New Roman"/>
          <w:sz w:val="24"/>
          <w:szCs w:val="24"/>
        </w:rPr>
        <w:t xml:space="preserve">Within the AANHPI aggregate, incidence varied across Asian American subgroups from 0.16 (0.12–0.22) in Hmong women to 1.05 (1.01–1.08) in Japanese women, with Cambodian 0.26 (0.20–0.34), Laotian 0.39 (0.35–0.43), Vietnamese 0.59 (0.57–0.61), Korean 0.68 (0.65–0.70), Chinese 0.76 (0.75–0.78), Filipina 0.86 (0.84–0.87), and Asian Indian/Pakistani 0.96 (0.94–0.98) in between; the Asian American aggregate was 0.79 (0.78–0.80). Among Native Hawaiian and Pacific Islander (NHPI) subgroups, Guamanian/Chamorro/Samoan women had an IRR of 0.72 (0.64–0.82) and Native Hawaiian women 1.21 (1.12–1.31), with an NHPI aggregate of 1.21 (1.17–1.26) (Table 1; Figure 2).</w:t>
      </w:r>
    </w:p>
    <w:p>
      <w:pPr>
        <w:pStyle w:val="Heading2"/>
        <w:keepNext/>
        <w:spacing w:after="80" w:line="360"/>
      </w:pPr>
      <w:r>
        <w:rPr>
          <w:rFonts w:ascii="Times New Roman" w:cs="Times New Roman" w:eastAsia="Times New Roman" w:hAnsi="Times New Roman"/>
          <w:b/>
          <w:bCs/>
          <w:sz w:val="24"/>
          <w:szCs w:val="24"/>
        </w:rPr>
        <w:t xml:space="preserve">Hispanic/Latina by country of origin</w:t>
      </w:r>
    </w:p>
    <w:p>
      <w:pPr>
        <w:spacing w:after="160" w:line="360"/>
      </w:pPr>
      <w:r>
        <w:rPr>
          <w:rFonts w:ascii="Times New Roman" w:cs="Times New Roman" w:eastAsia="Times New Roman" w:hAnsi="Times New Roman"/>
          <w:sz w:val="24"/>
          <w:szCs w:val="24"/>
        </w:rPr>
        <w:t xml:space="preserve">Among Hispanic/Latina women, incidence in Florida differed by country of origin: Mexican 0.51 (0.38–0.69), New Latino 0.70 (0.63–0.77), Cuban 0.77 (0.69–0.86), and Puerto Rican 0.83 (0.74–0.94), against an aggregate Hispanic/Latina IRR of 0.72 (Table 1; Figure 2).</w:t>
      </w:r>
    </w:p>
    <w:p>
      <w:pPr>
        <w:pStyle w:val="Heading2"/>
        <w:keepNext/>
        <w:spacing w:after="80" w:line="360"/>
      </w:pPr>
      <w:r>
        <w:rPr>
          <w:rFonts w:ascii="Times New Roman" w:cs="Times New Roman" w:eastAsia="Times New Roman" w:hAnsi="Times New Roman"/>
          <w:b/>
          <w:bCs/>
          <w:sz w:val="24"/>
          <w:szCs w:val="24"/>
        </w:rPr>
        <w:t xml:space="preserve">AI/AN by region</w:t>
      </w:r>
    </w:p>
    <w:p>
      <w:pPr>
        <w:spacing w:after="160" w:line="360"/>
      </w:pPr>
      <w:r>
        <w:rPr>
          <w:rFonts w:ascii="Times New Roman" w:cs="Times New Roman" w:eastAsia="Times New Roman" w:hAnsi="Times New Roman"/>
          <w:sz w:val="24"/>
          <w:szCs w:val="24"/>
        </w:rPr>
        <w:t xml:space="preserve">AI/AN incidence relative to NHW women varied widely by region. Across the six Indian Health Service regions the IRR ranged from 0.57 in the Southwest and 0.61 in the East, through 0.93 in the Pacific Coast and 1.05 in the Northern Plains, to 1.33 (1.26–1.41) in the Southern Plains; the tribal-specific Navajo area was lowest at 0.49 (0.44–0.55). These regional figures and the national AI/AN aggregate (0.87) come from Indian Health Service–linked sources, which correct the undercounting of AI/AN cases in unlinked registries; they are point estimates without a reported confidence interval, except the Navajo area, Alaska Native, and Southern Plains. Alaska Native women, ascertained by the IHS–eligibility–based Alaska Native Tumor Registry, had an IRR of 1.09 (0.99–1.21) against an unstratified White reference (Table 1; Figure 2).</w:t>
      </w:r>
    </w:p>
    <w:p>
      <w:pPr>
        <w:pStyle w:val="Heading2"/>
        <w:keepNext/>
        <w:spacing w:after="80" w:line="360"/>
      </w:pPr>
      <w:r>
        <w:rPr>
          <w:rFonts w:ascii="Times New Roman" w:cs="Times New Roman" w:eastAsia="Times New Roman" w:hAnsi="Times New Roman"/>
          <w:b/>
          <w:bCs/>
          <w:sz w:val="24"/>
          <w:szCs w:val="24"/>
        </w:rPr>
        <w:t xml:space="preserve">Middle Eastern populations</w:t>
      </w:r>
    </w:p>
    <w:p>
      <w:pPr>
        <w:spacing w:after="160" w:line="360"/>
      </w:pPr>
      <w:r>
        <w:rPr>
          <w:rFonts w:ascii="Times New Roman" w:cs="Times New Roman" w:eastAsia="Times New Roman" w:hAnsi="Times New Roman"/>
          <w:sz w:val="24"/>
          <w:szCs w:val="24"/>
        </w:rPr>
        <w:t xml:space="preserve">Women identified as Middle Eastern had an IRR of 0.86 (0.84–0.88) relative to NHW women (Table 1).</w:t>
      </w:r>
    </w:p>
    <w:p>
      <w:pPr>
        <w:pStyle w:val="Heading2"/>
        <w:keepNext/>
        <w:spacing w:after="80" w:line="360"/>
      </w:pPr>
      <w:r>
        <w:rPr>
          <w:rFonts w:ascii="Times New Roman" w:cs="Times New Roman" w:eastAsia="Times New Roman" w:hAnsi="Times New Roman"/>
          <w:b/>
          <w:bCs/>
          <w:sz w:val="24"/>
          <w:szCs w:val="24"/>
        </w:rPr>
        <w:t xml:space="preserve">Molecular subtypes</w:t>
      </w:r>
    </w:p>
    <w:p>
      <w:pPr>
        <w:spacing w:after="160" w:line="360"/>
      </w:pPr>
      <w:r>
        <w:rPr>
          <w:rFonts w:ascii="Times New Roman" w:cs="Times New Roman" w:eastAsia="Times New Roman" w:hAnsi="Times New Roman"/>
          <w:sz w:val="24"/>
          <w:szCs w:val="24"/>
        </w:rPr>
        <w:t xml:space="preserve">For TNBC, incidence relative to NHW women was highest in NHB women (1.95, 1.93–1.98). The AANHPI aggregate was 0.70 (0.68–0.72), Hispanic 0.86 (0.84–0.88), and AI/AN 0.86 (0.80–0.93); within AANHPI, TNBC IRRs were lower in Chinese (0.53 †), Filipina (0.84 †), and Native Hawaiian (0.86 †) women (Table 1). Across groups and analytic dimensions the relative ordering shifts with the outcome examined (Figure 3): NHB women, close to the NHW rate for overall incidence (0.93), have the highest triple-negative rate (1.95), while several Asian American subgroups that are below the NHW rate overall remain so across subtypes. Estimates for the other receptor-defined subtypes (HR+/HER2−, HR+/HER2+, and HR−/HER2+) rest mostly on single unstratified-White sources and are listed in Supplementary Table 4; they are the receptor-subtype cells that the sensitivity analyses show to be least stable.</w:t>
      </w:r>
    </w:p>
    <w:p>
      <w:pPr>
        <w:pStyle w:val="Heading2"/>
        <w:keepNext/>
        <w:spacing w:after="80" w:line="360"/>
      </w:pPr>
      <w:r>
        <w:rPr>
          <w:rFonts w:ascii="Times New Roman" w:cs="Times New Roman" w:eastAsia="Times New Roman" w:hAnsi="Times New Roman"/>
          <w:b/>
          <w:bCs/>
          <w:sz w:val="24"/>
          <w:szCs w:val="24"/>
        </w:rPr>
        <w:t xml:space="preserve">Narrative synthesis</w:t>
      </w:r>
    </w:p>
    <w:p>
      <w:pPr>
        <w:spacing w:after="160" w:line="360"/>
      </w:pPr>
      <w:r>
        <w:rPr>
          <w:rFonts w:ascii="Times New Roman" w:cs="Times New Roman" w:eastAsia="Times New Roman" w:hAnsi="Times New Roman"/>
          <w:sz w:val="24"/>
          <w:szCs w:val="24"/>
        </w:rPr>
        <w:t xml:space="preserve">The 111 narrative-synthesis studies met the inclusion criteria but contributed no independent quantitative estimate—most because no IRR or NHW-referenced age-standardized rate could be recovered, and a few multi-registry summary reports (for example, the annual reports to the nation and the annual cancer-statistics summaries) because they re-reported registry incidence already quantified from the dedicated primary study for the same registry and period. Grouped by theme in Supplementary Table 2, they fall into six overlapping topics, and where they reported a racial or ethnic comparison their findings were broadly consistent with the quantitative results.</w:t>
      </w:r>
    </w:p>
    <w:p>
      <w:pPr>
        <w:spacing w:after="160" w:line="360"/>
      </w:pPr>
      <w:r>
        <w:rPr>
          <w:rFonts w:ascii="Times New Roman" w:cs="Times New Roman" w:eastAsia="Times New Roman" w:hAnsi="Times New Roman"/>
          <w:sz w:val="24"/>
          <w:szCs w:val="24"/>
        </w:rPr>
        <w:t xml:space="preserve">Molecular subtype and histology (23 studies) described the higher triple-negative and hormone-receptor-negative burden in NHB women and the predominance of HR+/HER2− disease in NHW women, and extended the picture to inflammatory, lobular, and ductal histologies that the receptor-defined cells do not capture. Geography and region (23 studies) described variation in incidence across states, counties, and rural–urban gradients and within particular registries, including Delta-region, Appalachian, and single-state analyses. Age and early-onset (20 studies) reported racial differences concentrated in younger women, among them the Black–White age crossover and a higher early-onset burden in NHB women. Socioeconomic status and screening (9 studies) tied incidence differences to poverty, neighborhood deprivation, insurance, and mammography use rather than to race alone. Nativity and immigrant generation (8 studies) reported incidence rising with longer US residence and across immigrant generations in Asian, Hispanic, and Middle Eastern populations, echoing the nativity and enclave gradients seen in the quantitative subgroups. Time trends (8 studies) tracked rising incidence among Asian American women and falling estrogen-receptor-negative rates over recent decades. The remaining 20 were subgroup-specific descriptive reports—single Asian ethnicities or AI/AN young adults, for example—without a recoverable NHW comparison.</w:t>
      </w:r>
    </w:p>
    <w:p>
      <w:pPr>
        <w:spacing w:after="160" w:line="360"/>
      </w:pPr>
      <w:r>
        <w:rPr>
          <w:rFonts w:ascii="Times New Roman" w:cs="Times New Roman" w:eastAsia="Times New Roman" w:hAnsi="Times New Roman"/>
          <w:sz w:val="24"/>
          <w:szCs w:val="24"/>
        </w:rPr>
        <w:t xml:space="preserve">Taken together these narrative findings reproduce the main quantitative patterns—lower overall incidence in most minority groups than in NHW women, wide variation among Asian American and Hispanic/Latina subgroups, and a higher triple-negative burden in NHB women. Because the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sz w:val="24"/>
          <w:szCs w:val="24"/>
        </w:rPr>
        <w:t xml:space="preserve">Risk of bias and sensitivity analyses</w:t>
      </w:r>
    </w:p>
    <w:p>
      <w:pPr>
        <w:spacing w:after="160" w:line="360"/>
      </w:pPr>
      <w:r>
        <w:rPr>
          <w:rFonts w:ascii="Times New Roman" w:cs="Times New Roman" w:eastAsia="Times New Roman" w:hAnsi="Times New Roman"/>
          <w:sz w:val="24"/>
          <w:szCs w:val="24"/>
        </w:rPr>
        <w:t xml:space="preserve">On the JBI checklist, 44 of the 55 studies were at low risk of bias and 11 at moderate risk, with none at high risk (Supplementary Table 5); the moderate ratings arose mainly where an estimate was reported without a variance, the standard population was not clearly specified, or race and ethnicity ascertainment was limited. The representative selection was examined in four ways (Supplementary Table 6), and the pattern held throughout. Restricting to the 2000 U.S. standard population changed little: 81 of the 83 representatives were already standardized to it, so the restriction dropped no cell and changed only two Black receptor-subtype cells, each from a 1960 Segi-world-standardized representative to a 2000 U.S.–standardized estimate in the same direction (hormone-receptor-negative 1.80 to 1.60, hormone-receptor-positive 0.82 to 0.70; Supplementary Table 6d). Restricting to low-risk-of-bias studies left 62 of 83 cell representatives unchanged, with the 11 changed and 10 dropped cells falling mainly among the disaggregated AANHPI subgroups and, in smaller numbers, the receptor-subtype, age-specific, and Middle Eastern cells; restricting to directly reported estimates left 31 unchanged (5 changed, 47 dropped); restricting to NHW-comparator estimates left 64 unchanged (1 changed, 18 dropped), the dropped cells being those whose only representative used an unstratified White comparator — the receptor-defined subtypes and two age-specific Black cells — and the one changed cell being Alaska Native, whose unstratified-White representative (1.09) gave way to an Indian Health Service–linked estimate reported against an NHW reference (1.25).</w:t>
      </w:r>
    </w:p>
    <w:p>
      <w:pPr>
        <w:pStyle w:val="Heading1"/>
        <w:keepNext/>
        <w:spacing w:after="120" w:line="360"/>
      </w:pPr>
      <w:r>
        <w:rPr>
          <w:rFonts w:ascii="Times New Roman" w:cs="Times New Roman" w:eastAsia="Times New Roman" w:hAnsi="Times New Roman"/>
          <w:b/>
          <w:bCs/>
          <w:sz w:val="28"/>
          <w:szCs w:val="28"/>
        </w:rPr>
        <w:t xml:space="preserve">Discussion</w:t>
      </w:r>
    </w:p>
    <w:p>
      <w:pPr>
        <w:spacing w:after="160" w:line="360"/>
      </w:pPr>
      <w:r>
        <w:rPr>
          <w:rFonts w:ascii="Times New Roman" w:cs="Times New Roman" w:eastAsia="Times New Roman" w:hAnsi="Times New Roman"/>
          <w:sz w:val="24"/>
          <w:szCs w:val="24"/>
        </w:rPr>
        <w:t xml:space="preserve">This review assembled disaggregated, population-based estimates of invasive breast cancer incidence for U.S. racial and ethnic groups against a common NHW comparator (an unstratified White reference for a minority of cells, chiefly the receptor-defined subtypes). At the aggregate level, each minority group had lower overall incidence than NHW women—Hispanic/Latina women had the lowest IRR (0.72), followed by AANHPI (0.77) and AI/AN (0.87) women, with NHB women closest to NHW (0.93). For TNBC, however, NHB women had the highest incidence (1.95), while most other groups were at or below the NHW rate.</w:t>
      </w:r>
    </w:p>
    <w:p>
      <w:pPr>
        <w:spacing w:after="160" w:line="360"/>
      </w:pPr>
      <w:r>
        <w:rPr>
          <w:rFonts w:ascii="Times New Roman" w:cs="Times New Roman" w:eastAsia="Times New Roman" w:hAnsi="Times New Roman"/>
          <w:sz w:val="24"/>
          <w:szCs w:val="24"/>
        </w:rPr>
        <w:t xml:space="preserve">The central observation is that these aggregate figures average over the wide variation among the subgroups they contain. Among Asian American subgroups the IRR ranged from 0.16 in Hmong women to 1.05 in Japanese women; Native Hawaiian women (1.21) and the NHPI aggregate (1.21) exceeded the NHW rate; Hispanic incidence rose from 0.51 in Mexican women to 0.83 in Puerto Rican women; and AI/AN incidence ranged from 0.49 in the Navajo area to 1.33 in the Southern Plains, against a national AI/AN aggregate of 0.87 (Figure 2). In Figure 2 each aggregate and each subgroup is the representative estimate from a separate study, placed on the common NHW scale for comparison; the points are not drawn from one source and differ in registry, region, and diagnosis period, so the figure shows the range of published estimates rather than a within-study decomposition. This pattern is consistent with earlier disaggregated work and extends it: Gomez and colleagues first documented the variation among Asian American subgroups,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which the present estimates span over the most recent SEER-21 period;</w:t>
      </w:r>
      <w:r>
        <w:rPr>
          <w:rFonts w:ascii="Times New Roman" w:cs="Times New Roman" w:eastAsia="Times New Roman" w:hAnsi="Times New Roman"/>
          <w:sz w:val="24"/>
          <w:szCs w:val="24"/>
          <w:vertAlign w:val="superscript"/>
        </w:rPr>
        <w:t xml:space="preserve">27</w:t>
      </w:r>
      <w:r>
        <w:rPr>
          <w:rFonts w:ascii="Times New Roman" w:cs="Times New Roman" w:eastAsia="Times New Roman" w:hAnsi="Times New Roman"/>
          <w:sz w:val="24"/>
          <w:szCs w:val="24"/>
        </w:rPr>
        <w:t xml:space="preserve"> the high burden in Native Hawaiian women echoes reports from Hawaii;</w:t>
      </w:r>
      <w:r>
        <w:rPr>
          <w:rFonts w:ascii="Times New Roman" w:cs="Times New Roman" w:eastAsia="Times New Roman" w:hAnsi="Times New Roman"/>
          <w:sz w:val="24"/>
          <w:szCs w:val="24"/>
          <w:vertAlign w:val="superscript"/>
        </w:rPr>
        <w:t xml:space="preserve">21</w:t>
      </w:r>
      <w:r>
        <w:rPr>
          <w:rFonts w:ascii="Times New Roman" w:cs="Times New Roman" w:eastAsia="Times New Roman" w:hAnsi="Times New Roman"/>
          <w:sz w:val="24"/>
          <w:szCs w:val="24"/>
        </w:rPr>
        <w:t xml:space="preserve"> the Hispanic gradient reproduces that described among first-generation U.S. Hispanics;</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the AI/AN regional range and the low Navajo-area rate align with prior regional and tribal analyses;</w:t>
      </w:r>
      <w:r>
        <w:rPr>
          <w:rFonts w:ascii="Times New Roman" w:cs="Times New Roman" w:eastAsia="Times New Roman" w:hAnsi="Times New Roman"/>
          <w:sz w:val="24"/>
          <w:szCs w:val="24"/>
          <w:vertAlign w:val="superscript"/>
        </w:rPr>
        <w:t xml:space="preserve">10,36,40,44</w:t>
      </w:r>
      <w:r>
        <w:rPr>
          <w:rFonts w:ascii="Times New Roman" w:cs="Times New Roman" w:eastAsia="Times New Roman" w:hAnsi="Times New Roman"/>
          <w:sz w:val="24"/>
          <w:szCs w:val="24"/>
        </w:rPr>
        <w:t xml:space="preserve"> and the higher TNBC incidence in NHB women is concordant with prior subtype-specific work.</w:t>
      </w:r>
      <w:r>
        <w:rPr>
          <w:rFonts w:ascii="Times New Roman" w:cs="Times New Roman" w:eastAsia="Times New Roman" w:hAnsi="Times New Roman"/>
          <w:sz w:val="24"/>
          <w:szCs w:val="24"/>
          <w:vertAlign w:val="superscript"/>
        </w:rPr>
        <w:t xml:space="preserve">2,20</w:t>
      </w:r>
      <w:r>
        <w:rPr>
          <w:rFonts w:ascii="Times New Roman" w:cs="Times New Roman" w:eastAsia="Times New Roman" w:hAnsi="Times New Roman"/>
          <w:sz w:val="24"/>
          <w:szCs w:val="24"/>
        </w:rPr>
        <w:t xml:space="preserve"> The relative ordering of groups also shifts with the outcome examined (Figure 3).</w:t>
      </w:r>
    </w:p>
    <w:p>
      <w:pPr>
        <w:spacing w:after="160" w:line="360"/>
      </w:pPr>
      <w:r>
        <w:rPr>
          <w:rFonts w:ascii="Times New Roman" w:cs="Times New Roman" w:eastAsia="Times New Roman" w:hAnsi="Times New Roman"/>
          <w:sz w:val="24"/>
          <w:szCs w:val="24"/>
        </w:rPr>
        <w:t xml:space="preserve">For the subgroups whose incidence sits close to the NHW rate, which study represents the cell can change the direction of the small difference. Japanese women are the clearest example: the representative estimate, from a recent SEER-21 source,</w:t>
      </w:r>
      <w:r>
        <w:rPr>
          <w:rFonts w:ascii="Times New Roman" w:cs="Times New Roman" w:eastAsia="Times New Roman" w:hAnsi="Times New Roman"/>
          <w:sz w:val="24"/>
          <w:szCs w:val="24"/>
          <w:vertAlign w:val="superscript"/>
        </w:rPr>
        <w:t xml:space="preserve">27</w:t>
      </w:r>
      <w:r>
        <w:rPr>
          <w:rFonts w:ascii="Times New Roman" w:cs="Times New Roman" w:eastAsia="Times New Roman" w:hAnsi="Times New Roman"/>
          <w:sz w:val="24"/>
          <w:szCs w:val="24"/>
        </w:rPr>
        <w:t xml:space="preserve"> places their overall incidence just above the NHW rate (1.05), but that study is at moderate risk of bias, and when the representative selection is restricted to low-risk-of-bias studies the cell is instead filled by an earlier eight-state SEER+NPCR estimate</w:t>
      </w:r>
      <w:r>
        <w:rPr>
          <w:rFonts w:ascii="Times New Roman" w:cs="Times New Roman" w:eastAsia="Times New Roman" w:hAnsi="Times New Roman"/>
          <w:sz w:val="24"/>
          <w:szCs w:val="24"/>
          <w:vertAlign w:val="superscript"/>
        </w:rPr>
        <w:t xml:space="preserve">49</w:t>
      </w:r>
      <w:r>
        <w:rPr>
          <w:rFonts w:ascii="Times New Roman" w:cs="Times New Roman" w:eastAsia="Times New Roman" w:hAnsi="Times New Roman"/>
          <w:sz w:val="24"/>
          <w:szCs w:val="24"/>
        </w:rPr>
        <w:t xml:space="preserve"> that places it just below (0.95). The flip does not overturn the finding that Japanese incidence is near the NHW level, but it shows that the sign of a near-null difference is not robust for this subgroup. Such a change on restriction reflects more than risk of bias: the substituted studies also differ in diagnosis period, registry region, and comparator, and any of these can move a borderline estimate across 1.0.</w:t>
      </w:r>
    </w:p>
    <w:p>
      <w:pPr>
        <w:spacing w:after="160" w:line="360"/>
      </w:pPr>
      <w:r>
        <w:rPr>
          <w:rFonts w:ascii="Times New Roman" w:cs="Times New Roman" w:eastAsia="Times New Roman" w:hAnsi="Times New Roman"/>
          <w:sz w:val="24"/>
          <w:szCs w:val="24"/>
        </w:rPr>
        <w:t xml:space="preserve">Two features of the underlying data shaped these estimates. First, unlinked registries undercount AI/AN cases, so the AI/AN estimates here draw on Indian Health Service–linked sources, which correct that undercounting.</w:t>
      </w:r>
      <w:r>
        <w:rPr>
          <w:rFonts w:ascii="Times New Roman" w:cs="Times New Roman" w:eastAsia="Times New Roman" w:hAnsi="Times New Roman"/>
          <w:sz w:val="24"/>
          <w:szCs w:val="24"/>
          <w:vertAlign w:val="superscript"/>
        </w:rPr>
        <w:t xml:space="preserve">10,44</w:t>
      </w:r>
      <w:r>
        <w:rPr>
          <w:rFonts w:ascii="Times New Roman" w:cs="Times New Roman" w:eastAsia="Times New Roman" w:hAnsi="Times New Roman"/>
          <w:sz w:val="24"/>
          <w:szCs w:val="24"/>
        </w:rPr>
        <w:t xml:space="preserve"> The correction is substantial: the national aggregate from an unlinked source (0.56) rises to 0.87 once IHS-linked ascertainment is used. Among IHS-linked national estimates the ratio also rose over time, from 0.63 in 1999–2004 to 0.87 in 2010–2015, so the most recent IHS-linked estimate was taken as the representative and the earlier one retained for sensitivity. The IHS-linked regional estimates span the six IHS regions from 0.57 (Southwest) to 1.33 (Southern Plains), reaching or exceeding the NHW rate in the Northern Plains (1.05), Alaska Native women (1.09, confidence interval spanning 1.0), and the Southern Plains (1.33). The lower unlinked values are therefore best read as reflecting incomplete case ascertainment rather than lower underlying incidence; the AI/AN–NHW comparison depends on how completely cases are ascertained.</w:t>
      </w:r>
      <w:r>
        <w:rPr>
          <w:rFonts w:ascii="Times New Roman" w:cs="Times New Roman" w:eastAsia="Times New Roman" w:hAnsi="Times New Roman"/>
          <w:sz w:val="24"/>
          <w:szCs w:val="24"/>
          <w:vertAlign w:val="superscript"/>
        </w:rPr>
        <w:t xml:space="preserve">34,48</w:t>
      </w:r>
      <w:r>
        <w:rPr>
          <w:rFonts w:ascii="Times New Roman" w:cs="Times New Roman" w:eastAsia="Times New Roman" w:hAnsi="Times New Roman"/>
          <w:sz w:val="24"/>
          <w:szCs w:val="24"/>
        </w:rPr>
        <w:t xml:space="preserve"> The IHS-linked correction, however, was available only for the aggregate and regional estimates: no Indian Health Service–linked source reported AI/AN incidence by molecular subtype, so the AI/AN subtype figures (for example, the HR-positive/HER2-negative and triple-negative cells) rest on unlinked registries and are likely to understate the true rates. Second, reference groups differed across sources—most used an NHW comparator and a minority an unstratified White reference—so each comparator was recorded as its source defined it and a sensitivity analysis was restricted to NHW-comparator estimates; the unstratified-White cells, chiefly the receptor-defined subtypes, can shift a ratio slightly. The provenance of every estimate was recorded, and each rate ratio not reported directly was recomputed and cross-checked against a single master dataset.</w:t>
      </w:r>
    </w:p>
    <w:p>
      <w:pPr>
        <w:spacing w:after="160" w:line="360"/>
      </w:pPr>
      <w:r>
        <w:rPr>
          <w:rFonts w:ascii="Times New Roman" w:cs="Times New Roman" w:eastAsia="Times New Roman" w:hAnsi="Times New Roman"/>
          <w:sz w:val="24"/>
          <w:szCs w:val="24"/>
        </w:rPr>
        <w:t xml:space="preserve">Bringing these disaggregated estimates onto a common NHW scale, with overlapping estimates collapsed and each source appraised, arranges aggregate and subgroup results on one axis for comparison—though the estimates are not fully commensurable, for the reasons set out under the limitations below, and the arrangement shows the span of published figures rather than a set of mutually calibrated rates. The main pattern held across the four sensitivity analyses: few cells changed representative on restriction, and most of the differences were cells dropped for lack of a qualifying estimate rather than cells that disagreed. Standard-population differences changed little, and the changes that did occur clustered in the disaggregated AANHPI subgroups and the age-specific cells whose estimates sit near the NHW rate—Japanese women above being the clearest case—so the aggregate ordering is robust while a few near-null subgroup signs are not. The review is descriptive and does not identify causes. Several explanations proposed in the included studies are best treated as possible contributors rather than established causes: nativity and generational status are the most consistently reported, with lower incidence in some Asian and Hispanic subgroups linked to a larger foreign-born proportion and residence in ethnic enclaves and to rates that rise with longer U.S. residence,</w:t>
      </w:r>
      <w:r>
        <w:rPr>
          <w:rFonts w:ascii="Times New Roman" w:cs="Times New Roman" w:eastAsia="Times New Roman" w:hAnsi="Times New Roman"/>
          <w:sz w:val="24"/>
          <w:szCs w:val="24"/>
          <w:vertAlign w:val="superscript"/>
        </w:rPr>
        <w:t xml:space="preserve">5,9</w:t>
      </w:r>
      <w:r>
        <w:rPr>
          <w:rFonts w:ascii="Times New Roman" w:cs="Times New Roman" w:eastAsia="Times New Roman" w:hAnsi="Times New Roman"/>
          <w:sz w:val="24"/>
          <w:szCs w:val="24"/>
        </w:rPr>
        <w:t xml:space="preserve"> and differences in molecular-subtype distribution and in stage at diagnosis, screening, and access to care have also been described.</w:t>
      </w:r>
      <w:r>
        <w:rPr>
          <w:rFonts w:ascii="Times New Roman" w:cs="Times New Roman" w:eastAsia="Times New Roman" w:hAnsi="Times New Roman"/>
          <w:sz w:val="24"/>
          <w:szCs w:val="24"/>
          <w:vertAlign w:val="superscript"/>
        </w:rPr>
        <w:t xml:space="preserve">2,29</w:t>
      </w:r>
      <w:r>
        <w:rPr>
          <w:rFonts w:ascii="Times New Roman" w:cs="Times New Roman" w:eastAsia="Times New Roman" w:hAnsi="Times New Roman"/>
          <w:sz w:val="24"/>
          <w:szCs w:val="24"/>
        </w:rPr>
        <w:t xml:space="preserve"> Genetic or biological mechanisms were not examined.</w:t>
      </w:r>
    </w:p>
    <w:p>
      <w:pPr>
        <w:spacing w:after="160" w:line="360"/>
      </w:pPr>
      <w:r>
        <w:rPr>
          <w:rFonts w:ascii="Times New Roman" w:cs="Times New Roman" w:eastAsia="Times New Roman" w:hAnsi="Times New Roman"/>
          <w:sz w:val="24"/>
          <w:szCs w:val="24"/>
        </w:rPr>
        <w:t xml:space="preserve">The review has limitations. Some rate ratios were computed from published age-standardized rates rather than reported directly, which can move a ratio slightly. Expressing each group's incidence as a ratio to the NHW rate does not by itself make the estimates commensurable: because the cells are drawn from different studies, differences in standard population, underlying age structure, registry region, and diagnosis period remain embedded in the ratios and are not cancelled by the common comparator. A ratio removes the shared standard-population scaling only when its numerator and denominator come from the same source and standardization—which holds within each cell but not across cells. Included studies differed in standard population and diagnosis period, limiting cross-cell comparability, and a few older studies used a 1970 standard population (world or US) and one the 1960 Segi world standard. The review was restricted to U.S.-resident populations, so the estimates are not generalizable to countries that use a different White reference, different racial and ethnic categories, and different standard populations. Finally, estimates for the smallest subgroups rested on limited numbers, studies contributing only to the narrative synthesis were not quantified, and grey literature was not searched. Screening, full-text selection, and extraction were carried out by a single reviewer with large-language-model assistance rather than by two independent reviewers; to limit selection and extraction error, the full text of all but one included study was read for the inclusion decision and every extracted estimate was checked against its source table, figure, or text.</w:t>
      </w:r>
    </w:p>
    <w:p>
      <w:pPr>
        <w:spacing w:after="160" w:line="360"/>
      </w:pPr>
      <w:r>
        <w:rPr>
          <w:rFonts w:ascii="Times New Roman" w:cs="Times New Roman" w:eastAsia="Times New Roman" w:hAnsi="Times New Roman"/>
          <w:sz w:val="24"/>
          <w:szCs w:val="24"/>
        </w:rPr>
        <w:t xml:space="preserve">What this review adds beyond the individual studies is threefold. First, it places estimates that were scattered across separate registry reports—each with its own reference group, standard population, and diagnosis period—onto a single NHW-referenced scale, so the disaggregated subgroups can be read against one another and against their aggregates in one place. Second, by collapsing overlapping registry-family estimates while retaining the overlaps for the sensitivity analysis, it separates cells corroborated by two or more independent sources (36 of the 83 analytic cells) from those resting on a single study (47), and it shows where independent studies agree and where they do not: the aggregate ordering and most subgroup estimates held across the low-risk-of-bias, directly-reported, and NHW-comparator restrictions, while a few near-null differences—chiefly among Asian American subgroups, with Japanese women the clearest case—changed sign with the source, and the AI/AN comparison depended on whether case ascertainment was IHS-linked. Reviewing the studies jointly rather than singly therefore confirmed something no individual report, confined to its own registry and period, could establish: that the wide within-aggregate heterogeneity is reproducible across independent registries and stable under the risk-of-bias, provenance, and comparator restrictions, and is concordant with the earlier single-population studies it draws together—so the pattern reflects real differences rather than the choice of any one data source. Third, it makes the evidence gaps explicit: Middle Eastern women, several Native Hawaiian and Pacific Islander and Hispanic-origin subgroups, and AI/AN incidence by molecular subtype each rest on a single regional or unlinked source, and the AI/AN regional and national aggregate figures are point estimates without a confidence interval—groups for which a dedicated, and for AI/AN an IHS-linked, primary study is still needed. Because studies differed in standard population, period, and region, these estimates are best read as a comparable-scale summary of the available evidence rather than as mutually calibrated rates, with the provenance and comparator of each estimate (computed CI ‡; unstratified White †) marked so readers can weigh them.</w:t>
      </w:r>
    </w:p>
    <w:p>
      <w:pPr>
        <w:spacing w:after="160" w:line="360"/>
      </w:pPr>
      <w:r>
        <w:rPr>
          <w:rFonts w:ascii="Times New Roman" w:cs="Times New Roman" w:eastAsia="Times New Roman" w:hAnsi="Times New Roman"/>
          <w:sz w:val="24"/>
          <w:szCs w:val="24"/>
        </w:rPr>
        <w:t xml:space="preserve">In summary, aggregate racial and ethnic categories describe broad differences in U.S. breast cancer incidence but do not capture the range within them, and the subtype pattern for NHB women departs from the overall pattern. Each comparison rests on a single appraised representative estimate per analytic cell rather than a pooled figure.</w:t>
      </w:r>
    </w:p>
    <w:p>
      <w:pPr>
        <w:pStyle w:val="Heading1"/>
        <w:keepNext/>
        <w:spacing w:after="120" w:line="360"/>
      </w:pPr>
      <w:r>
        <w:rPr>
          <w:rFonts w:ascii="Times New Roman" w:cs="Times New Roman" w:eastAsia="Times New Roman" w:hAnsi="Times New Roman"/>
          <w:b/>
          <w:bCs/>
          <w:sz w:val="28"/>
          <w:szCs w:val="28"/>
        </w:rPr>
        <w:t xml:space="preserve">References</w:t>
      </w:r>
    </w:p>
    <w:p>
      <w:pPr>
        <w:spacing w:after="60" w:line="300"/>
      </w:pPr>
      <w:r>
        <w:rPr>
          <w:rFonts w:ascii="Times New Roman" w:cs="Times New Roman" w:eastAsia="Times New Roman" w:hAnsi="Times New Roman"/>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sz w:val="24"/>
          <w:szCs w:val="24"/>
        </w:rPr>
        <w:t xml:space="preserve">17. Liu L, Zhang J, Wu AH, Pike MC, Deapen D. Invasive breast cancer incidence trends by detailed race/ethnicity and age. Int J Cancer. 2012;130(2):395-404. doi:10.1002/ijc.26004</w:t>
      </w:r>
    </w:p>
    <w:p>
      <w:pPr>
        <w:spacing w:after="60" w:line="300"/>
      </w:pPr>
      <w:r>
        <w:rPr>
          <w:rFonts w:ascii="Times New Roman" w:cs="Times New Roman" w:eastAsia="Times New Roman" w:hAnsi="Times New Roman"/>
          <w:sz w:val="24"/>
          <w:szCs w:val="24"/>
        </w:rPr>
        <w:t xml:space="preserve">18.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sz w:val="24"/>
          <w:szCs w:val="24"/>
        </w:rPr>
        <w:t xml:space="preserve">19.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sz w:val="24"/>
          <w:szCs w:val="24"/>
        </w:rPr>
        <w:t xml:space="preserve">20.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sz w:val="24"/>
          <w:szCs w:val="24"/>
        </w:rPr>
        <w:t xml:space="preserve">21. Loo LWM, Williams M, Hernandez BY. The high and heterogeneous burden of breast cancer in Hawaii: A unique multiethnic U.S. Population. Cancer Epidemiol. 2019;58:71-76. doi:10.1016/j.canep.2018.11.006</w:t>
      </w:r>
    </w:p>
    <w:p>
      <w:pPr>
        <w:spacing w:after="60" w:line="300"/>
      </w:pPr>
      <w:r>
        <w:rPr>
          <w:rFonts w:ascii="Times New Roman" w:cs="Times New Roman" w:eastAsia="Times New Roman" w:hAnsi="Times New Roman"/>
          <w:sz w:val="24"/>
          <w:szCs w:val="24"/>
        </w:rPr>
        <w:t xml:space="preserve">22.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sz w:val="24"/>
          <w:szCs w:val="24"/>
        </w:rPr>
        <w:t xml:space="preserve">23. Centers for Disease Control and Prevention (CDC). Vital signs: racial disparities in breast cancer severity--United States, 2005-2009. MMWR Morb Mortal Wkly Rep. 2012;61(45):922-6.</w:t>
      </w:r>
    </w:p>
    <w:p>
      <w:pPr>
        <w:spacing w:after="60" w:line="300"/>
      </w:pPr>
      <w:r>
        <w:rPr>
          <w:rFonts w:ascii="Times New Roman" w:cs="Times New Roman" w:eastAsia="Times New Roman" w:hAnsi="Times New Roman"/>
          <w:sz w:val="24"/>
          <w:szCs w:val="24"/>
        </w:rPr>
        <w:t xml:space="preserve">24.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sz w:val="24"/>
          <w:szCs w:val="24"/>
        </w:rPr>
        <w:t xml:space="preserve">25.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sz w:val="24"/>
          <w:szCs w:val="24"/>
        </w:rPr>
        <w:t xml:space="preserve">26. Zhang W, Bai Y, Sun C, Lv Z, Wang S. Racial and regional disparities of triple negative breast cancer incidence rates in the United States: an analysis of 2011-2019 NPCR and SEER incidence data. Front Public Health. 2022;10:1058722. doi:10.3389/fpubh.2022.1058722</w:t>
      </w:r>
    </w:p>
    <w:p>
      <w:pPr>
        <w:spacing w:after="60" w:line="300"/>
      </w:pPr>
      <w:r>
        <w:rPr>
          <w:rFonts w:ascii="Times New Roman" w:cs="Times New Roman" w:eastAsia="Times New Roman" w:hAnsi="Times New Roman"/>
          <w:sz w:val="24"/>
          <w:szCs w:val="24"/>
        </w:rPr>
        <w:t xml:space="preserve">27.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sz w:val="24"/>
          <w:szCs w:val="24"/>
        </w:rPr>
        <w:t xml:space="preserve">28.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sz w:val="24"/>
          <w:szCs w:val="24"/>
        </w:rPr>
        <w:t xml:space="preserve">29.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sz w:val="24"/>
          <w:szCs w:val="24"/>
        </w:rPr>
        <w:t xml:space="preserve">30.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sz w:val="24"/>
          <w:szCs w:val="24"/>
        </w:rPr>
        <w:t xml:space="preserve">31.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sz w:val="24"/>
          <w:szCs w:val="24"/>
        </w:rPr>
        <w:t xml:space="preserve">32.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sz w:val="24"/>
          <w:szCs w:val="24"/>
        </w:rPr>
        <w:t xml:space="preserve">33. Amirikia KC, Mills P, Bush J, Newman LA. Higher population-based incidence rates of triple-negative breast cancer among young African-American women: implications for breast cancer screening recommendations. Cancer. 2011;117(12):2747-53. doi:10.1002/cncr.25862</w:t>
      </w:r>
    </w:p>
    <w:p>
      <w:pPr>
        <w:spacing w:after="60" w:line="300"/>
      </w:pPr>
      <w:r>
        <w:rPr>
          <w:rFonts w:ascii="Times New Roman" w:cs="Times New Roman" w:eastAsia="Times New Roman" w:hAnsi="Times New Roman"/>
          <w:sz w:val="24"/>
          <w:szCs w:val="24"/>
        </w:rPr>
        <w:t xml:space="preserve">34. Watanabe-Galloway S, Watkins K, Duran T. Trends and patterns of late and unstaged lung, colorectal, female breast, and prostate cancers among American Indians in the Northern Plains, 2002-2009. J Health Care Poor Underserved. 2015;26(4):1041-63. doi:10.1353/hpu.2015.0089</w:t>
      </w:r>
    </w:p>
    <w:p>
      <w:pPr>
        <w:spacing w:after="60" w:line="300"/>
      </w:pPr>
      <w:r>
        <w:rPr>
          <w:rFonts w:ascii="Times New Roman" w:cs="Times New Roman" w:eastAsia="Times New Roman" w:hAnsi="Times New Roman"/>
          <w:sz w:val="24"/>
          <w:szCs w:val="24"/>
        </w:rPr>
        <w:t xml:space="preserve">35.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sz w:val="24"/>
          <w:szCs w:val="24"/>
        </w:rPr>
        <w:t xml:space="preserve">36.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sz w:val="24"/>
          <w:szCs w:val="24"/>
        </w:rPr>
        <w:t xml:space="preserve">37. Ihenacho U, McKinley MA, Vu A, Hernandez BY, Loo LWM, Gomez SL, et al. Characterizing breast cancer incidence and trends among Asian American, Native Hawaiian, and non-Hispanic White women in Hawai'i, 1990-2014. Cancer Causes Control. 2023;34(3):241-249. doi:10.1007/s10552-022-01659-7</w:t>
      </w:r>
    </w:p>
    <w:p>
      <w:pPr>
        <w:spacing w:after="60" w:line="300"/>
      </w:pPr>
      <w:r>
        <w:rPr>
          <w:rFonts w:ascii="Times New Roman" w:cs="Times New Roman" w:eastAsia="Times New Roman" w:hAnsi="Times New Roman"/>
          <w:sz w:val="24"/>
          <w:szCs w:val="24"/>
        </w:rPr>
        <w:t xml:space="preserve">38.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sz w:val="24"/>
          <w:szCs w:val="24"/>
        </w:rPr>
        <w:t xml:space="preserve">39. Goggins WB, Wong G. Cancer among Asian Indians/Pakistanis living in the United States: low incidence and generally above average survival. Cancer Causes Control. 2009;20(5):635-43. doi:10.1007/s10552-008-9275-x</w:t>
      </w:r>
    </w:p>
    <w:p>
      <w:pPr>
        <w:spacing w:after="60" w:line="300"/>
      </w:pPr>
      <w:r>
        <w:rPr>
          <w:rFonts w:ascii="Times New Roman" w:cs="Times New Roman" w:eastAsia="Times New Roman" w:hAnsi="Times New Roman"/>
          <w:sz w:val="24"/>
          <w:szCs w:val="24"/>
        </w:rPr>
        <w:t xml:space="preserve">40.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sz w:val="24"/>
          <w:szCs w:val="24"/>
        </w:rPr>
        <w:t xml:space="preserve">41.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sz w:val="24"/>
          <w:szCs w:val="24"/>
        </w:rPr>
        <w:t xml:space="preserve">42. Melkonian SC, Jim MA, Pete D, Poel A, Dominguez AE, Echo-Hawk A, et al. Cancer disparities among non-Hispanic urban American Indian and Alaska Native populations in the United States, 1999-2017. Cancer. 2022;128(8):1626-1636. doi:10.1002/cncr.34122</w:t>
      </w:r>
    </w:p>
    <w:p>
      <w:pPr>
        <w:spacing w:after="60" w:line="300"/>
      </w:pPr>
      <w:r>
        <w:rPr>
          <w:rFonts w:ascii="Times New Roman" w:cs="Times New Roman" w:eastAsia="Times New Roman" w:hAnsi="Times New Roman"/>
          <w:sz w:val="24"/>
          <w:szCs w:val="24"/>
        </w:rPr>
        <w:t xml:space="preserve">43. Sung H, DeSantis C, Jemal A. Subtype-Specific Breast Cancer Incidence Rates in Black versus White Men in the United States. JNCI Cancer Spectr. 2020;4(1):pkz091. doi:10.1093/jncics/pkz091</w:t>
      </w:r>
    </w:p>
    <w:p>
      <w:pPr>
        <w:spacing w:after="60" w:line="300"/>
      </w:pPr>
      <w:r>
        <w:rPr>
          <w:rFonts w:ascii="Times New Roman" w:cs="Times New Roman" w:eastAsia="Times New Roman" w:hAnsi="Times New Roman"/>
          <w:sz w:val="24"/>
          <w:szCs w:val="24"/>
        </w:rPr>
        <w:t xml:space="preserve">44.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sz w:val="24"/>
          <w:szCs w:val="24"/>
        </w:rPr>
        <w:t xml:space="preserve">45. Kem R, Chu KC. Cambodian cancer incidence rates in California and Washington, 1998-2002. Cancer. 2007;110(6):1370-5. doi:10.1002/cncr.22914</w:t>
      </w:r>
    </w:p>
    <w:p>
      <w:pPr>
        <w:spacing w:after="60" w:line="300"/>
      </w:pPr>
      <w:r>
        <w:rPr>
          <w:rFonts w:ascii="Times New Roman" w:cs="Times New Roman" w:eastAsia="Times New Roman" w:hAnsi="Times New Roman"/>
          <w:sz w:val="24"/>
          <w:szCs w:val="24"/>
        </w:rPr>
        <w:t xml:space="preserve">46.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sz w:val="24"/>
          <w:szCs w:val="24"/>
        </w:rPr>
        <w:t xml:space="preserve">47.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sz w:val="24"/>
          <w:szCs w:val="24"/>
        </w:rPr>
        <w:t xml:space="preserve">48.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sz w:val="24"/>
          <w:szCs w:val="24"/>
        </w:rPr>
        <w:t xml:space="preserve">49. Jin H, Pinheiro PS, Xu J, Amei A. Cancer incidence among Asian American populations in the United States, 2009-2011. Int J Cancer. 2016;138(9):2136-45. doi:10.1002/ijc.29958</w:t>
      </w:r>
    </w:p>
    <w:p>
      <w:pPr>
        <w:spacing w:after="60" w:line="300"/>
      </w:pPr>
      <w:r>
        <w:rPr>
          <w:rFonts w:ascii="Times New Roman" w:cs="Times New Roman" w:eastAsia="Times New Roman" w:hAnsi="Times New Roman"/>
          <w:sz w:val="24"/>
          <w:szCs w:val="24"/>
        </w:rPr>
        <w:t xml:space="preserve">50. Miller BA, Chu KC, Hankey BF, Ries LA. Cancer incidence and mortality patterns among specific Asian and Pacific Islander populations in the U.S. Cancer Causes Control. 2008;19(3):227-56. doi:10.1007/s10552-007-9088-3</w:t>
      </w:r>
    </w:p>
    <w:p>
      <w:pPr>
        <w:spacing w:after="60" w:line="300"/>
      </w:pPr>
      <w:r>
        <w:rPr>
          <w:rFonts w:ascii="Times New Roman" w:cs="Times New Roman" w:eastAsia="Times New Roman" w:hAnsi="Times New Roman"/>
          <w:sz w:val="24"/>
          <w:szCs w:val="24"/>
        </w:rPr>
        <w:t xml:space="preserve">51. McCracken M, Olsen M, Chen MS Jr,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sz w:val="24"/>
          <w:szCs w:val="24"/>
        </w:rPr>
        <w:t xml:space="preserve">52. Wilkinson JD, Wohler-Torres B, Trapido E, Fleming LE, MacKinnon J, Peace S. Cancer among Hispanic women in South Florida: an 18-year assessment: a report from the Florida Cancer Data System. Cancer. 2002;95(8):1752-8. doi:10.1002/cncr.10834</w:t>
      </w:r>
    </w:p>
    <w:p>
      <w:pPr>
        <w:sectPr>
          <w:pgSz w:w="11906" w:h="16838" w:orient="portrait"/>
          <w:pgMar w:top="1440" w:right="1440" w:bottom="1440" w:left="1440" w:header="708" w:footer="708" w:gutter="0"/>
          <w:pgNumType/>
          <w:docGrid w:linePitch="360"/>
        </w:sectPr>
      </w:pPr>
    </w:p>
    <w:p>
      <w:pPr>
        <w:pStyle w:val="Heading1"/>
        <w:spacing w:after="160" w:line="360"/>
      </w:pPr>
      <w:r>
        <w:rPr>
          <w:rFonts w:ascii="Times New Roman" w:cs="Times New Roman" w:eastAsia="Times New Roman" w:hAnsi="Times New Roman"/>
          <w:b/>
          <w:bCs/>
          <w:sz w:val="28"/>
          <w:szCs w:val="28"/>
        </w:rPr>
        <w:t xml:space="preserve">Tables and Figures</w:t>
      </w:r>
    </w:p>
    <w:p>
      <w:pPr>
        <w:spacing w:after="100" w:before="160"/>
      </w:pPr>
      <w:r>
        <w:rPr>
          <w:rFonts w:ascii="Malgun Gothic" w:cs="Malgun Gothic" w:eastAsia="Malgun Gothic" w:hAnsi="Malgun Gothic"/>
          <w:b/>
          <w:bCs/>
          <w:sz w:val="22"/>
          <w:szCs w:val="22"/>
        </w:rPr>
        <w:t xml:space="preserve">Table 1. Incidence rate ratios of invasive breast cancer among U.S. racial and ethnic groups relative to non-Hispanic White women, by analytic dimension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353"/>
        <w:gridCol w:w="1099"/>
        <w:gridCol w:w="3133"/>
        <w:gridCol w:w="2913"/>
        <w:gridCol w:w="2473"/>
        <w:gridCol w:w="1429"/>
      </w:tblGrid>
      <w:tr>
        <w:trPr>
          <w:tblHeader/>
        </w:trPr>
        <w:tc>
          <w:tcPr>
            <w:tcW w:type="dxa" w:w="3353"/>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099"/>
            <w:tcMar>
              <w:top w:type="dxa" w:w="25"/>
              <w:left w:type="dxa" w:w="70"/>
              <w:bottom w:type="dxa" w:w="25"/>
              <w:right w:type="dxa" w:w="70"/>
            </w:tcMar>
          </w:tcPr>
          <w:p>
            <w:r>
              <w:rPr>
                <w:rFonts w:ascii="Malgun Gothic" w:cs="Malgun Gothic" w:eastAsia="Malgun Gothic" w:hAnsi="Malgun Gothic"/>
                <w:b/>
                <w:bCs/>
                <w:sz w:val="15"/>
                <w:szCs w:val="15"/>
              </w:rPr>
              <w:t xml:space="preserve">Effect</w:t>
            </w:r>
          </w:p>
        </w:tc>
        <w:tc>
          <w:tcPr>
            <w:tcW w:type="dxa" w:w="3133"/>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2913"/>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473"/>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429"/>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 (Hmong 1988-2000 / NHW 1995-1999)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 (2014-2018)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 (2009-2014)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 (1988-2004)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(2009-2013)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120" w:line="260"/>
      </w:pPr>
      <w:r>
        <w:rPr>
          <w:rFonts w:ascii="Malgun Gothic" w:cs="Malgun Gothic" w:eastAsia="Malgun Gothic" w:hAnsi="Malgun Gothic"/>
          <w:i/>
          <w:iCs/>
          <w:sz w:val="16"/>
          <w:szCs w:val="16"/>
        </w:rPr>
        <w:t xml:space="preserve">Note. Each cell shows one representative population-based estimate — the most recent, broadest-coverage registry estimate per registry family — not a pooled estimate; the selection rule and its robustness are given in the Methods and Supplementary Table 6. The effect measure is the incidence rate ratio (IRR) unless marked as a standardized incidence ratio (SIR); comparisons are versus non-Hispanic White (NHW) women. † the study's reference was an unstratified White group (not stratified by Hispanic origin), examined in the NHW-comparator sensitivity analysis (Supplementary Table 6c). ‡ the 95% confidence interval was computed by the reviewers from published rates rather than reported in the source. NHB, non-Hispanic Black; AANHPI, Asian American, Native Hawaiian, and Pacific Islander (NHPI, the Pacific Islander subset, shown separately); RoB, risk-of-bias rating of the representative study. Full per-estimate detail is in the Supplementary Materials.</w:t>
      </w:r>
    </w:p>
    <w:p>
      <w:pPr>
        <w:spacing w:after="100" w:before="160"/>
      </w:pPr>
      <w:r>
        <w:rPr>
          <w:rFonts w:ascii="Malgun Gothic" w:cs="Malgun Gothic" w:eastAsia="Malgun Gothic" w:hAnsi="Malgun Gothic"/>
          <w:b/>
          <w:bCs/>
          <w:sz w:val="22"/>
          <w:szCs w:val="22"/>
        </w:rPr>
        <w:t xml:space="preserve">Figure 1. PRISMA 2020 flow diagram</w:t>
      </w:r>
    </w:p>
    <w:p>
      <w:r>
        <w:drawing>
          <wp:inline distT="0" distB="0" distL="0" distR="0">
            <wp:extent cx="6477000"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77000" cy="550545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r>
        <w:drawing>
          <wp:inline distT="0" distB="0" distL="0" distR="0">
            <wp:extent cx="6286500" cy="754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86500" cy="754380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3. Incidence rate ratio by racial or ethnic group and analytic dimension (representative estimate vs non-Hispanic White; 1.0 = the NHW rate)</w:t>
      </w:r>
    </w:p>
    <w:p>
      <w:r>
        <w:drawing>
          <wp:inline distT="0" distB="0" distL="0" distR="0">
            <wp:extent cx="7239000"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239000" cy="4086225"/>
                    </a:xfrm>
                    <a:prstGeom prst="rect">
                      <a:avLst/>
                    </a:prstGeom>
                  </pic:spPr>
                </pic:pic>
              </a:graphicData>
            </a:graphic>
          </wp:inline>
        </w:drawing>
      </w:r>
    </w:p>
    <w:sectPr>
      <w:pgSz w:w="16838" w:h="11906"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2d02d09de366b498f4c165925784aed568ecb4b.png"/><Relationship Id="rId8" Type="http://schemas.openxmlformats.org/officeDocument/2006/relationships/image" Target="media/784963a3021af25b050f7127d7dc51e7d721feff.png"/><Relationship Id="rId9" Type="http://schemas.openxmlformats.org/officeDocument/2006/relationships/image" Target="media/d1eb7530e6a39cf9939b6c538f1d1de237d8c35f.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2026-09-12T09:31:18.424Z</dcterms:created>
  <dcterms:modified xsi:type="dcterms:W3CDTF">2026-09-12T09:31:18.426Z</dcterms:modified>
</cp:coreProperties>
</file>

<file path=docProps/custom.xml><?xml version="1.0" encoding="utf-8"?>
<Properties xmlns="http://schemas.openxmlformats.org/officeDocument/2006/custom-properties" xmlns:vt="http://schemas.openxmlformats.org/officeDocument/2006/docPropsVTypes"/>
</file>