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in several minority groups breast cancer has been reported at younger ages at diagnosis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Some of the lowest reported rates are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have differed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has been reported to differ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to vary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could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may reorder the groups again: NHW women have been reported to have the highest rate of HR+/HER2− disease and NHB women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the group with the highest rate can depend on the subtype considered.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2026-09-16T22:46:08.746Z</dcterms:created>
  <dcterms:modified xsi:type="dcterms:W3CDTF">2026-09-16T22:46:08.746Z</dcterms:modified>
</cp:coreProperties>
</file>

<file path=docProps/custom.xml><?xml version="1.0" encoding="utf-8"?>
<Properties xmlns="http://schemas.openxmlformats.org/officeDocument/2006/custom-properties" xmlns:vt="http://schemas.openxmlformats.org/officeDocument/2006/docPropsVTypes"/>
</file>