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 A PMID (or DOI where no PMID exists) is given for every study so that each of the 163 included studies—including the 115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doi:10.1101/2025.07.14.25331338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62 of 78 cells unchanged, 3 changed, 13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40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78 cells unchanged, 1 changed, 21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age-specific Black and US-born nativity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2026-08-29T06:24:15.506Z</dcterms:created>
  <dcterms:modified xsi:type="dcterms:W3CDTF">2026-08-29T06:24:15.506Z</dcterms:modified>
</cp:coreProperties>
</file>

<file path=docProps/custom.xml><?xml version="1.0" encoding="utf-8"?>
<Properties xmlns="http://schemas.openxmlformats.org/officeDocument/2006/custom-properties" xmlns:vt="http://schemas.openxmlformats.org/officeDocument/2006/docPropsVTypes"/>
</file>