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55 of 73 cells unchanged, 8 changed, 10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6 changed, 32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73 cells unchanged, 0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API 9.5 per 100,000. IRR = rate/12.8 (NHB 1.95, Hispanic 0.90,</w:t>
      </w:r>
    </w:p>
    <w:p>
      <w:pPr>
        <w:spacing w:after="80"/>
      </w:pPr>
      <w:r>
        <w:rPr>
          <w:rFonts w:ascii="Malgun Gothic" w:cs="Malgun Gothic" w:eastAsia="Malgun Gothic" w:hAnsi="Malgun Gothic"/>
          <w:i w:val="false"/>
          <w:iCs w:val="false"/>
          <w:sz w:val="18"/>
          <w:szCs w:val="18"/>
        </w:rPr>
        <w:t xml:space="preserve">• AI/AN 0.73, API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2026-09-03T09:06:09.889Z</dcterms:created>
  <dcterms:modified xsi:type="dcterms:W3CDTF">2026-09-03T09:06:09.890Z</dcterms:modified>
</cp:coreProperties>
</file>

<file path=docProps/custom.xml><?xml version="1.0" encoding="utf-8"?>
<Properties xmlns="http://schemas.openxmlformats.org/officeDocument/2006/custom-properties" xmlns:vt="http://schemas.openxmlformats.org/officeDocument/2006/docPropsVTypes"/>
</file>