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a few broad racial and ethnic categories. Each category is internally diverse—spanning subgroups defined by ancestry, nativity, and region, with receptor-defined subtypes cutting across them—so an aggregate rate can obscure the subgroups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(Native Hawaiian),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Because unlinked registries undercount AI/AN incidence, Indian Health Service–linked estimates were used.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White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2026-09-06T07:36:19.472Z</dcterms:created>
  <dcterms:modified xsi:type="dcterms:W3CDTF">2026-09-06T07:36:19.472Z</dcterms:modified>
</cp:coreProperties>
</file>

<file path=docProps/custom.xml><?xml version="1.0" encoding="utf-8"?>
<Properties xmlns="http://schemas.openxmlformats.org/officeDocument/2006/custom-properties" xmlns:vt="http://schemas.openxmlformats.org/officeDocument/2006/docPropsVTypes"/>
</file>