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(year of publication; the diagnosis periods reported by the included studies span 1975–2022),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2026-09-13T04:46:49.336Z</dcterms:created>
  <dcterms:modified xsi:type="dcterms:W3CDTF">2026-09-13T04:46:49.336Z</dcterms:modified>
</cp:coreProperties>
</file>

<file path=docProps/custom.xml><?xml version="1.0" encoding="utf-8"?>
<Properties xmlns="http://schemas.openxmlformats.org/officeDocument/2006/custom-properties" xmlns:vt="http://schemas.openxmlformats.org/officeDocument/2006/docPropsVTypes"/>
</file>