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estimates standardized to the 2000 U.S. standard population left 81 of 83 unchanged and dropped none, with only two Black receptor-subtype cells changing—each from a representative standardized to the 1960 Segi world standard to a 2000 U.S.–standardized estimate in the same direction (hormone-receptor-negative 1.80 to 1.60, hormone-receptor-positive 0.82 to 0.70).</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four sensitivity analyses the main pattern held: few cells changed representative on restriction (11 under the low-risk-of-bias restriction, 5 under the directly-reported restriction, 1 under the NHW-comparator restriction, and 2 under the 2000 U.S. standard-population restriction), and most of the differences were cells dropped for lack of a qualifying estimate rather than cells that disagreed. Standard-population heterogeneity in particular proved minor: 81 of 83 representatives were already on the 2000 U.S. standard, and restricting to it dropped no cell and changed only two Black receptor-subtype cells, in the same direction.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2026-09-12T02:47:31.736Z</dcterms:created>
  <dcterms:modified xsi:type="dcterms:W3CDTF">2026-09-12T02:47:31.736Z</dcterms:modified>
</cp:coreProperties>
</file>

<file path=docProps/custom.xml><?xml version="1.0" encoding="utf-8"?>
<Properties xmlns="http://schemas.openxmlformats.org/officeDocument/2006/custom-properties" xmlns:vt="http://schemas.openxmlformats.org/officeDocument/2006/docPropsVTypes"/>
</file>