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White or non-Hispanic White (NHW) comparison formed the quantitative synthesis and the remainder the narrative synthesis.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(all 48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 overlapping estimates so no woman is counted twice,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an internal or non-White reference—was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all providing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Every representative therefore rested on either a directly reported ratio or on rates from a single source; none relied on a comparator supplied from outside its own study or back-estimated to reproduce a rounded ratio. The only estimate that borrowed an external reference—an Alaska Native rate whose source reported no in-paper White comparator, paired with a SEER-Explorer non-Hispanic White rate for the same period—was retained solely as a sensitivity overlap, never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all 48 provided extractable estimates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 and entered the analysis—22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These comparisons rest on a synthesis that collapsed overlapping registry estimates to one representative per analytic cell, preferred Indian Health Service–linked data where unlinked registries undercount AI/AN cases, harmonized the White comparator, and traced every rate ratio to a single appraised source.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2026-09-02T09:24:52.809Z</dcterms:created>
  <dcterms:modified xsi:type="dcterms:W3CDTF">2026-09-02T09:24:52.809Z</dcterms:modified>
</cp:coreProperties>
</file>

<file path=docProps/custom.xml><?xml version="1.0" encoding="utf-8"?>
<Properties xmlns="http://schemas.openxmlformats.org/officeDocument/2006/custom-properties" xmlns:vt="http://schemas.openxmlformats.org/officeDocument/2006/docPropsVTypes"/>
</file>