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00"/>
      </w:pPr>
      <w:r>
        <w:rPr>
          <w:rFonts w:ascii="Malgun Gothic" w:cs="Malgun Gothic" w:eastAsia="Malgun Gothic" w:hAnsi="Malgun Gothic"/>
          <w:b/>
          <w:bCs/>
          <w:color w:val="000000"/>
          <w:sz w:val="30"/>
          <w:szCs w:val="30"/>
        </w:rPr>
        <w:t xml:space="preserve">본문 수정 내역 (검토용)</w:t>
      </w:r>
    </w:p>
    <w:p>
      <w:pPr>
        <w:spacing w:after="120" w:line="276"/>
      </w:pPr>
      <w:r>
        <w:rPr>
          <w:rFonts w:ascii="Malgun Gothic" w:cs="Malgun Gothic" w:eastAsia="Malgun Gothic" w:hAnsi="Malgun Gothic"/>
          <w:b w:val="false"/>
          <w:bCs w:val="false"/>
          <w:color w:val="000000"/>
          <w:sz w:val="20"/>
          <w:szCs w:val="20"/>
        </w:rPr>
        <w:t xml:space="preserve">원고 본문에서 바뀐 문단만 모았습니다. </w:t>
      </w: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항목을 Word나 PDF에서 Ctrl+F로 검색하면 해당 문단으로 바로 갑니다. 표·그림·보충자료의 수치 변경은 피드백 응답서에 있습니다.</w:t>
      </w:r>
    </w:p>
    <w:p>
      <w:pPr>
        <w:spacing w:after="120" w:line="276"/>
      </w:pPr>
      <w:r>
        <w:rPr>
          <w:rFonts w:ascii="Malgun Gothic" w:cs="Malgun Gothic" w:eastAsia="Malgun Gothic" w:hAnsi="Malgun Gothic"/>
          <w:b w:val="false"/>
          <w:bCs w:val="false"/>
          <w:color w:val="000000"/>
          <w:sz w:val="20"/>
          <w:szCs w:val="20"/>
        </w:rPr>
        <w:t xml:space="preserve">범위: `42fa0b5` … `HEAD` (38개 문단)</w:t>
      </w:r>
    </w:p>
    <w:p>
      <w:pPr>
        <w:spacing w:after="120" w:before="260"/>
      </w:pPr>
      <w:r>
        <w:rPr>
          <w:rFonts w:ascii="Malgun Gothic" w:cs="Malgun Gothic" w:eastAsia="Malgun Gothic" w:hAnsi="Malgun Gothic"/>
          <w:b/>
          <w:bCs/>
          <w:color w:val="000000"/>
          <w:sz w:val="24"/>
          <w:szCs w:val="24"/>
        </w:rPr>
        <w:t xml:space="preserve">Abstract</w:t>
      </w:r>
    </w:p>
    <w:p>
      <w:pPr>
        <w:spacing w:after="120" w:line="276"/>
      </w:pPr>
      <w:r>
        <w:rPr>
          <w:rFonts w:ascii="Malgun Gothic" w:cs="Malgun Gothic" w:eastAsia="Malgun Gothic" w:hAnsi="Malgun Gothic"/>
          <w:b w:val="false"/>
          <w:bCs w:val="false"/>
          <w:color w:val="000000"/>
          <w:sz w:val="20"/>
          <w:szCs w:val="20"/>
        </w:rPr>
        <w:t xml:space="preserve">### 1.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`Within-group estimates ranged widely—0.16 (Hmong) to 1.27 (Native Hawaiian) across AANHPI subgroups,…`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1.21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1.27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val="false"/>
          <w:bCs w:val="false"/>
          <w:color w:val="000000"/>
          <w:sz w:val="20"/>
          <w:szCs w:val="20"/>
        </w:rPr>
        <w:t xml:space="preserve">*사유: Fix the Abstract's Native Hawaiian value and what Supplementary Table 4 says it holds*</w:t>
      </w:r>
    </w:p>
    <w:p>
      <w:pPr>
        <w:spacing w:after="120" w:line="276"/>
      </w:pPr>
      <w:r>
        <w:rPr>
          <w:rFonts w:ascii="Malgun Gothic" w:cs="Malgun Gothic" w:eastAsia="Malgun Gothic" w:hAnsi="Malgun Gothic"/>
          <w:b w:val="false"/>
          <w:bCs w:val="false"/>
          <w:color w:val="000000"/>
          <w:sz w:val="20"/>
          <w:szCs w:val="20"/>
        </w:rPr>
        <w:t xml:space="preserve">### 2.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was an incidence rate ratio (IRR) versus NHW women, or versus…`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before="260"/>
      </w:pPr>
      <w:r>
        <w:rPr>
          <w:rFonts w:ascii="Malgun Gothic" w:cs="Malgun Gothic" w:eastAsia="Malgun Gothic" w:hAnsi="Malgun Gothic"/>
          <w:b/>
          <w:bCs/>
          <w:color w:val="000000"/>
          <w:sz w:val="24"/>
          <w:szCs w:val="24"/>
        </w:rPr>
        <w:t xml:space="preserve">Introduction</w:t>
      </w:r>
    </w:p>
    <w:p>
      <w:pPr>
        <w:spacing w:after="120" w:line="276"/>
      </w:pPr>
      <w:r>
        <w:rPr>
          <w:rFonts w:ascii="Malgun Gothic" w:cs="Malgun Gothic" w:eastAsia="Malgun Gothic" w:hAnsi="Malgun Gothic"/>
          <w:b w:val="false"/>
          <w:bCs w:val="false"/>
          <w:color w:val="000000"/>
          <w:sz w:val="20"/>
          <w:szCs w:val="20"/>
        </w:rPr>
        <w:t xml:space="preserve">### 1. Introduction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analysis retains one representative population-based estimate per analytic cell,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registry family,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analytic cell,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before="260"/>
      </w:pPr>
      <w:r>
        <w:rPr>
          <w:rFonts w:ascii="Malgun Gothic" w:cs="Malgun Gothic" w:eastAsia="Malgun Gothic" w:hAnsi="Malgun Gothic"/>
          <w:b/>
          <w:bCs/>
          <w:color w:val="000000"/>
          <w:sz w:val="24"/>
          <w:szCs w:val="24"/>
        </w:rPr>
        <w:t xml:space="preserve">Methods</w:t>
      </w:r>
    </w:p>
    <w:p>
      <w:pPr>
        <w:spacing w:after="120" w:line="276"/>
      </w:pPr>
      <w:r>
        <w:rPr>
          <w:rFonts w:ascii="Malgun Gothic" w:cs="Malgun Gothic" w:eastAsia="Malgun Gothic" w:hAnsi="Malgun Gothic"/>
          <w:b w:val="false"/>
          <w:bCs w:val="false"/>
          <w:color w:val="000000"/>
          <w:sz w:val="20"/>
          <w:szCs w:val="20"/>
        </w:rPr>
        <w:t xml:space="preserve">### 1.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`Recurring statistics series—the annual cancer-statistics reports and the Annual Report to the…`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line="276"/>
      </w:pPr>
      <w:r>
        <w:rPr>
          <w:rFonts w:ascii="Malgun Gothic" w:cs="Malgun Gothic" w:eastAsia="Malgun Gothic" w:hAnsi="Malgun Gothic"/>
          <w:b w:val="false"/>
          <w:bCs w:val="false"/>
          <w:color w:val="000000"/>
          <w:sz w:val="20"/>
          <w:szCs w:val="20"/>
        </w:rPr>
        <w:t xml:space="preserve">### 2.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`Studies were eligible for inclusion if they reported invasive breast cancer incidence…`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3. Eligibility criteria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that re-reported an estimate already captured from the same registry,…`</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4.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study whose extracted estimates carry no interval therefore rates "No" on item 8 whether or not the source printed the ratio itself, which places a point estimate without a variance at moderate rather than low risk of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rating reflects incomplete reporting of uncertainty rather than evidence that the estimate is biased, and it is the reason several large registry analyses that report ratios without intervals are rated moderate.</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rather than as a whole publication, and the items divide accordingly.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8 depends on the estimates themselves and was judged on those extracted for this review, a variance counting as available when the source printed an interval or when one could be recovered from what the source reports.</w:t>
      </w:r>
    </w:p>
    <w:p>
      <w:pPr>
        <w:spacing w:after="120" w:line="276"/>
      </w:pPr>
      <w:r>
        <w:rPr>
          <w:rFonts w:ascii="Malgun Gothic" w:cs="Malgun Gothic" w:eastAsia="Malgun Gothic" w:hAnsi="Malgun Gothic"/>
          <w:b w:val="false"/>
          <w:bCs w:val="false"/>
          <w:color w:val="000000"/>
          <w:sz w:val="20"/>
          <w:szCs w:val="20"/>
        </w:rPr>
        <w:t xml:space="preserve">*사유: Spell out which RoB items are judged at study level and which at estimate level*</w:t>
      </w:r>
    </w:p>
    <w:p>
      <w:pPr>
        <w:spacing w:after="120" w:line="276"/>
      </w:pPr>
      <w:r>
        <w:rPr>
          <w:rFonts w:ascii="Malgun Gothic" w:cs="Malgun Gothic" w:eastAsia="Malgun Gothic" w:hAnsi="Malgun Gothic"/>
          <w:b w:val="false"/>
          <w:bCs w:val="false"/>
          <w:color w:val="000000"/>
          <w:sz w:val="20"/>
          <w:szCs w:val="20"/>
        </w:rPr>
        <w:t xml:space="preserve">### 6.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Settle the item 8 question from the checklist's own guidance*</w:t>
      </w:r>
    </w:p>
    <w:p>
      <w:pPr>
        <w:spacing w:after="120" w:line="276"/>
      </w:pPr>
      <w:r>
        <w:rPr>
          <w:rFonts w:ascii="Malgun Gothic" w:cs="Malgun Gothic" w:eastAsia="Malgun Gothic" w:hAnsi="Malgun Gothic"/>
          <w:b w:val="false"/>
          <w:bCs w:val="false"/>
          <w:color w:val="000000"/>
          <w:sz w:val="20"/>
          <w:szCs w:val="20"/>
        </w:rPr>
        <w:t xml:space="preserve">### 7.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Keep the item 8 justification out of Methods*</w:t>
      </w:r>
    </w:p>
    <w:p>
      <w:pPr>
        <w:spacing w:after="120" w:line="276"/>
      </w:pPr>
      <w:r>
        <w:rPr>
          <w:rFonts w:ascii="Malgun Gothic" w:cs="Malgun Gothic" w:eastAsia="Malgun Gothic" w:hAnsi="Malgun Gothic"/>
          <w:b w:val="false"/>
          <w:bCs w:val="false"/>
          <w:color w:val="000000"/>
          <w:sz w:val="20"/>
          <w:szCs w:val="20"/>
        </w:rPr>
        <w:t xml:space="preserve">### 8.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Say in Methods that the rating rule is this review's, not the checklist's*</w:t>
      </w:r>
    </w:p>
    <w:p>
      <w:pPr>
        <w:spacing w:after="120" w:line="276"/>
      </w:pPr>
      <w:r>
        <w:rPr>
          <w:rFonts w:ascii="Malgun Gothic" w:cs="Malgun Gothic" w:eastAsia="Malgun Gothic" w:hAnsi="Malgun Gothic"/>
          <w:b w:val="false"/>
          <w:bCs w:val="false"/>
          <w:color w:val="000000"/>
          <w:sz w:val="20"/>
          <w:szCs w:val="20"/>
        </w:rPr>
        <w:t xml:space="preserve">### 9.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checklist records a Yes, No, Unclear or Not applicable for each…`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Describe the checklist's own output exactly*</w:t>
      </w:r>
    </w:p>
    <w:p>
      <w:pPr>
        <w:spacing w:after="120" w:line="276"/>
      </w:pPr>
      <w:r>
        <w:rPr>
          <w:rFonts w:ascii="Malgun Gothic" w:cs="Malgun Gothic" w:eastAsia="Malgun Gothic" w:hAnsi="Malgun Gothic"/>
          <w:b w:val="false"/>
          <w:bCs w:val="false"/>
          <w:color w:val="000000"/>
          <w:sz w:val="20"/>
          <w:szCs w:val="20"/>
        </w:rPr>
        <w:t xml:space="preserve">### 10.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`Where a cell had no NHW-comparator source—18 cells, being 16 of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source—the receptor-defined subtype cells and two age-specific Black cells—the estimate using an unstratified White comparator was kept as the representative and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 and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11.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`Where a cell had no NHW-comparator source—18 cells, being 16 of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 and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one although an NHW-comparator source exists for it, the broader-coverage rule above having selected the registry that reports against an unstratified White reference, so 19 of the 85 representatives use an unstratified White reference in all.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estimate's comparator is named in Supplementary Table 4; where such a cell appears in the main text it is marked †.</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before="260"/>
      </w:pPr>
      <w:r>
        <w:rPr>
          <w:rFonts w:ascii="Malgun Gothic" w:cs="Malgun Gothic" w:eastAsia="Malgun Gothic" w:hAnsi="Malgun Gothic"/>
          <w:b/>
          <w:bCs/>
          <w:color w:val="000000"/>
          <w:sz w:val="24"/>
          <w:szCs w:val="24"/>
        </w:rPr>
        <w:t xml:space="preserve">Results</w:t>
      </w:r>
    </w:p>
    <w:p>
      <w:pPr>
        <w:spacing w:after="120" w:line="276"/>
      </w:pPr>
      <w:r>
        <w:rPr>
          <w:rFonts w:ascii="Malgun Gothic" w:cs="Malgun Gothic" w:eastAsia="Malgun Gothic" w:hAnsi="Malgun Gothic"/>
          <w:b w:val="false"/>
          <w:bCs w:val="false"/>
          <w:color w:val="000000"/>
          <w:sz w:val="20"/>
          <w:szCs w:val="20"/>
        </w:rPr>
        <w:t xml:space="preserve">### 1.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`Of these, 58 were eligible for quantitative synthesis and entered the analysis,…`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dimensions²⁻⁹,¹¹⁻¹²,¹⁵⁻⁶³—23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dimensions²⁻⁹,¹¹⁻¹²,¹⁵⁻⁶³—22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Disaggregated AANHPI subgroups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`Among Native Hawaiian and Pacific Islander (NHPI) subgroups, Guamanian/Chamorro/Samoan women had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1.21 (1.12–1.31), with an NHPI aggregate of 1.21 (1.17–1.26)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1.27 (1.21–1.33), with an NHPI aggregate of 1.21 (1.17–1.26) (Table 1;</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3.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4.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5.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`On the JBI checklist, 41 of the 58 studies were at low…`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6. Narrative synthesis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118 narrative-synthesis studies met the inclusion criteria but contributed no extractable…`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reference group was NHW for 66 of the 85 representatives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in most studies and an unstratified White group in a minority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8.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`Supplementary Table 6c), the 18 dropped cells being those whose only representative…`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9.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`After collapsing overlapping registry-family estimates, 85 representative estimates remained, one per analytic…`</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4).</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 wherever they appear—five of them in Table 1 and the other 14 in Supplementary Table 4.</w:t>
      </w:r>
    </w:p>
    <w:p>
      <w:pPr>
        <w:spacing w:after="120" w:line="276"/>
      </w:pPr>
      <w:r>
        <w:rPr>
          <w:rFonts w:ascii="Malgun Gothic" w:cs="Malgun Gothic" w:eastAsia="Malgun Gothic" w:hAnsi="Malgun Gothic"/>
          <w:b w:val="false"/>
          <w:bCs w:val="false"/>
          <w:color w:val="000000"/>
          <w:sz w:val="20"/>
          <w:szCs w:val="20"/>
        </w:rPr>
        <w:t xml:space="preserve">*사유: Say where the daggered cells are, since Table 1 holds 38 of the 85*</w:t>
      </w:r>
    </w:p>
    <w:p>
      <w:pPr>
        <w:spacing w:after="120" w:line="276"/>
      </w:pPr>
      <w:r>
        <w:rPr>
          <w:rFonts w:ascii="Malgun Gothic" w:cs="Malgun Gothic" w:eastAsia="Malgun Gothic" w:hAnsi="Malgun Gothic"/>
          <w:b w:val="false"/>
          <w:bCs w:val="false"/>
          <w:color w:val="000000"/>
          <w:sz w:val="20"/>
          <w:szCs w:val="20"/>
        </w:rPr>
        <w:t xml:space="preserve">### 10.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reference group was NHW for 66 of the 85 representatives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 wherever they appear—five of them in Table 1 and the other 14 in Supplementary Table 4.</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five of those are among the cells shown in Table 1, where they carry a †, and Supplementary Table 4 names the comparator of every extracted estimate in a column rather than by mark.</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before="260"/>
      </w:pPr>
      <w:r>
        <w:rPr>
          <w:rFonts w:ascii="Malgun Gothic" w:cs="Malgun Gothic" w:eastAsia="Malgun Gothic" w:hAnsi="Malgun Gothic"/>
          <w:b/>
          <w:bCs/>
          <w:color w:val="000000"/>
          <w:sz w:val="24"/>
          <w:szCs w:val="24"/>
        </w:rPr>
        <w:t xml:space="preserve">Discussion</w:t>
      </w:r>
    </w:p>
    <w:p>
      <w:pPr>
        <w:spacing w:after="120" w:line="276"/>
      </w:pPr>
      <w:r>
        <w:rPr>
          <w:rFonts w:ascii="Malgun Gothic" w:cs="Malgun Gothic" w:eastAsia="Malgun Gothic" w:hAnsi="Malgun Gothic"/>
          <w:b w:val="false"/>
          <w:bCs w:val="false"/>
          <w:color w:val="000000"/>
          <w:sz w:val="20"/>
          <w:szCs w:val="20"/>
        </w:rPr>
        <w:t xml:space="preserve">### 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`Native Hawaiian women (1.27) and the NHPI aggregate (1.21) exceeded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(1.21) and the NHPI aggregate (1.21) exceeded the NHW rate;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(1.27) and the NHPI aggregate (1.21) exceeded the NHW rate;</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`Expressing each group's incidence as a ratio to the NHW rate does…`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Across cells, differences in standard population, underlying age structure, registry region, and diagnosis period therefore remain embedded.</w:t>
      </w:r>
    </w:p>
    <w:p>
      <w:pPr>
        <w:spacing w:after="120" w:line="276"/>
      </w:pPr>
      <w:r>
        <w:rPr>
          <w:rFonts w:ascii="Malgun Gothic" w:cs="Malgun Gothic" w:eastAsia="Malgun Gothic" w:hAnsi="Malgun Gothic"/>
          <w:b w:val="false"/>
          <w:bCs w:val="false"/>
          <w:color w:val="000000"/>
          <w:sz w:val="20"/>
          <w:szCs w:val="20"/>
        </w:rPr>
        <w:t xml:space="preserve">*사유: Feedback5 item 2: stop claiming the ratio cancels the standard population*</w:t>
      </w:r>
    </w:p>
    <w:p>
      <w:pPr>
        <w:spacing w:after="120" w:line="276"/>
      </w:pPr>
      <w:r>
        <w:rPr>
          <w:rFonts w:ascii="Malgun Gothic" w:cs="Malgun Gothic" w:eastAsia="Malgun Gothic" w:hAnsi="Malgun Gothic"/>
          <w:b w:val="false"/>
          <w:bCs w:val="false"/>
          <w:color w:val="000000"/>
          <w:sz w:val="20"/>
          <w:szCs w:val="20"/>
        </w:rPr>
        <w:t xml:space="preserve">### 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across the four sensitivity analyses in the cells…`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few cells changed representative on restriction, and most of the differences were cells dropped for lack of a qualifying estimate rather than cells that disagreed.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for most of the cells each restriction could…`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for most of the cells each restriction could re-examine, but not uniformly.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Cells that no estimate could fill under a restriction were dropped,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66 it could re-examine), concentrated in the disaggregated AANHPI subgroups, the age-specific cells whose estimates sit near the NHW rate, as with the Japanese cell above, and the AI/AN cells.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substitution nonetheless moves AI/AN below Hispanic/Latina women, so the ordering of the aggregates is not preserved under that restriction, and neither the ordering nor a few near-null subgroup signs should be read as established.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AI/AN change is the largest, and it turns on how uncertainty…`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and it turns on how uncertainty was reported rather than on a difference in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national aggregate's representative—the 2010–2015 IHS-linked estimate of 0.87—is rated moderate only because it prints no confidence interval, so the restriction replaces it with the 1999–2004 IHS-linked estimate of 0.63, which does print intervals.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gap between the two is the rise over time described above, not two sources disagreeing about one period.</w:t>
      </w:r>
    </w:p>
    <w:p>
      <w:pPr>
        <w:spacing w:after="120" w:line="276"/>
      </w:pPr>
      <w:r>
        <w:rPr>
          <w:rFonts w:ascii="Malgun Gothic" w:cs="Malgun Gothic" w:eastAsia="Malgun Gothic" w:hAnsi="Malgun Gothic"/>
          <w:b w:val="false"/>
          <w:bCs w:val="false"/>
          <w:color w:val="000000"/>
          <w:sz w:val="20"/>
          <w:szCs w:val="20"/>
        </w:rPr>
        <w:t xml:space="preserve">*사유: Explain why the AI/AN representative changes under the low-RoB restriction*</w:t>
      </w:r>
    </w:p>
    <w:p>
      <w:pPr>
        <w:spacing w:after="120" w:line="276"/>
      </w:pPr>
      <w:r>
        <w:rPr>
          <w:rFonts w:ascii="Malgun Gothic" w:cs="Malgun Gothic" w:eastAsia="Malgun Gothic" w:hAnsi="Malgun Gothic"/>
          <w:b w:val="false"/>
          <w:bCs w:val="false"/>
          <w:color w:val="000000"/>
          <w:sz w:val="20"/>
          <w:szCs w:val="20"/>
        </w:rPr>
        <w:t xml:space="preserve">### 6.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`First, unlinked registries tend to undercount AI/AN cases, so the AI/AN estimates…`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difference is sizeable: the national aggregate from an unlinked source (0.56) rises to 0.87 once IHS-linked ascertainment is used.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rather than only lower underlying incidence; the AI/AN–NHW comparison depends on how completely cases are ascertained.⁴¹,⁵⁸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Three differences run together.</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unlinked estimate covers 1999–2015 and the IHS-linked one 2010–2015, and the AI/AN ratio rose over that interval.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figure is confined to Purchased/Referred Care Delivery Area counties, and that restriction applies to the NHW comparison group as well, so its numerator and denominator both describe a different population from the national 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Only the third difference—how AI/AN race was ascertained—is the linkage itself.</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corroborated by two or more independent sources (38 of the 85 analytic cells) from those resting on a single study (47); where two or more sources are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8.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`Those counties contain or adjoin federally recognized tribal lands and hold about…`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Those counties contain or adjoin federally recognized tribal lands and hold about 53% of the U.S.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AI/AN population, with regional coverage from 16% in the East to all of Alaska,⁵³ so the IHS-linked figures describe about half of this population rather than the whole of it, and the better-covered regions are those where AI/AN residents make up a larger share of the county population.</w:t>
      </w:r>
    </w:p>
    <w:p>
      <w:pPr>
        <w:spacing w:after="120" w:line="276"/>
      </w:pPr>
      <w:r>
        <w:rPr>
          <w:rFonts w:ascii="Malgun Gothic" w:cs="Malgun Gothic" w:eastAsia="Malgun Gothic" w:hAnsi="Malgun Gothic"/>
          <w:b w:val="false"/>
          <w:bCs w:val="false"/>
          <w:color w:val="000000"/>
          <w:sz w:val="20"/>
          <w:szCs w:val="20"/>
        </w:rPr>
        <w:t xml:space="preserve">*사유: Discussion: state PRCDA population coverage in the AI/AN passage*</w:t>
      </w:r>
    </w:p>
    <w:p>
      <w:pPr>
        <w:spacing w:after="120" w:line="276"/>
      </w:pPr>
      <w:r>
        <w:rPr>
          <w:rFonts w:ascii="Malgun Gothic" w:cs="Malgun Gothic" w:eastAsia="Malgun Gothic" w:hAnsi="Malgun Gothic"/>
          <w:b w:val="false"/>
          <w:bCs w:val="false"/>
          <w:color w:val="000000"/>
          <w:sz w:val="20"/>
          <w:szCs w:val="20"/>
        </w:rPr>
        <w:t xml:space="preserve">### 9.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w:t>
      </w:r>
    </w:p>
    <w:p>
      <w:pPr>
        <w:spacing w:after="120" w:line="276"/>
      </w:pPr>
      <w:r>
        <w:rPr>
          <w:rFonts w:ascii="Malgun Gothic" w:cs="Malgun Gothic" w:eastAsia="Malgun Gothic" w:hAnsi="Malgun Gothic"/>
          <w:b w:val="false"/>
          <w:bCs w:val="false"/>
          <w:color w:val="000000"/>
          <w:sz w:val="20"/>
          <w:szCs w:val="20"/>
        </w:rPr>
        <w:t xml:space="preserve">*사유: Discussion: correct what the 38 versus 47 cell split counts*</w:t>
      </w:r>
    </w:p>
    <w:p>
      <w:pPr>
        <w:spacing w:after="120" w:line="276"/>
      </w:pPr>
      <w:r>
        <w:rPr>
          <w:rFonts w:ascii="Malgun Gothic" w:cs="Malgun Gothic" w:eastAsia="Malgun Gothic" w:hAnsi="Malgun Gothic"/>
          <w:b w:val="false"/>
          <w:bCs w:val="false"/>
          <w:color w:val="000000"/>
          <w:sz w:val="20"/>
          <w:szCs w:val="20"/>
        </w:rPr>
        <w:t xml:space="preserve">### 10.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IHS-linked regional estimates vary widely and reach or exceed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 and Figure 2).</w:t>
      </w:r>
    </w:p>
    <w:p>
      <w:pPr>
        <w:spacing w:after="120" w:line="276"/>
      </w:pPr>
      <w:r>
        <w:rPr>
          <w:rFonts w:ascii="Malgun Gothic" w:cs="Malgun Gothic" w:eastAsia="Malgun Gothic" w:hAnsi="Malgun Gothic"/>
          <w:b w:val="false"/>
          <w:bCs w:val="false"/>
          <w:color w:val="000000"/>
          <w:sz w:val="20"/>
          <w:szCs w:val="20"/>
        </w:rPr>
        <w:t xml:space="preserve">*사유: Draw the main-text figures from the same data Table 1 prints*</w:t>
      </w:r>
    </w:p>
    <w:p>
      <w:pPr>
        <w:spacing w:after="120" w:line="276"/>
      </w:pPr>
      <w:r>
        <w:rPr>
          <w:rFonts w:ascii="Malgun Gothic" w:cs="Malgun Gothic" w:eastAsia="Malgun Gothic" w:hAnsi="Malgun Gothic"/>
          <w:b w:val="false"/>
          <w:bCs w:val="false"/>
          <w:color w:val="000000"/>
          <w:sz w:val="20"/>
          <w:szCs w:val="20"/>
        </w:rPr>
        <w:t xml:space="preserve">### 11.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`Hispanics;⁸ the AI/AN regional range follows the pattern in earlier Indian Health…`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and the low Navajo-area rate align with prior regional and tribal analyses;¹⁰,⁴⁴,⁴⁸,⁵³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follows the pattern in earlier Indian Health Service–linked regional reports,¹⁰,⁵³ and the low Navajo-area rate that in the Navajo Nation registry analysis;⁴⁸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val="false"/>
          <w:bCs w:val="false"/>
          <w:color w:val="000000"/>
          <w:sz w:val="20"/>
          <w:szCs w:val="20"/>
        </w:rPr>
        <w:t xml:space="preserve">*사유: Make every reference reachable, and finish the writing-guide sweep*</w:t>
      </w:r>
    </w:p>
    <w:p>
      <w:pPr>
        <w:spacing w:after="120" w:line="276"/>
      </w:pPr>
      <w:r>
        <w:rPr>
          <w:rFonts w:ascii="Malgun Gothic" w:cs="Malgun Gothic" w:eastAsia="Malgun Gothic" w:hAnsi="Malgun Gothic"/>
          <w:b w:val="false"/>
          <w:bCs w:val="false"/>
          <w:color w:val="000000"/>
          <w:sz w:val="20"/>
          <w:szCs w:val="20"/>
        </w:rPr>
        <w:t xml:space="preserve">### 12.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`This review assembled disaggregated, population-based estimates of invasive breast cancer incidence for…`</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a minority of cells, chiefly the receptor-defined subtypes).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19 of the 85 cells, most of them receptor-defined subtypes).</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reference groups differed across sources—66 of the 85 representatives used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`Because studies differed in diagnosis period and region, these estimates are best…`</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studies differed in diagnosis period and region, these estimates are best read as a comparable-scale summary of the available evidence, with the provenance and comparator of each recorded—marked in the main-text table and figures (computed CI ‡; unstratified White †) and named in full in Supplementary Table 4—so readers can weigh them.</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2026-09-23T10:03:02.019Z</dcterms:created>
  <dcterms:modified xsi:type="dcterms:W3CDTF">2026-09-23T10:03:02.019Z</dcterms:modified>
</cp:coreProperties>
</file>

<file path=docProps/custom.xml><?xml version="1.0" encoding="utf-8"?>
<Properties xmlns="http://schemas.openxmlformats.org/officeDocument/2006/custom-properties" xmlns:vt="http://schemas.openxmlformats.org/officeDocument/2006/docPropsVTypes"/>
</file>