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(162 = 43 + 5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73 cells unchanged, 0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API 9.5 per 100,000. IRR = rate/12.8 (NHB 1.95, Hispanic 0.90,</w:t>
      </w:r>
    </w:p>
    <w:p>
      <w:pPr>
        <w:spacing w:after="80"/>
      </w:pPr>
      <w:r>
        <w:rPr>
          <w:rFonts w:ascii="Malgun Gothic" w:cs="Malgun Gothic" w:eastAsia="Malgun Gothic" w:hAnsi="Malgun Gothic"/>
          <w:i w:val="false"/>
          <w:iCs w:val="false"/>
          <w:sz w:val="18"/>
          <w:szCs w:val="18"/>
        </w:rPr>
        <w:t xml:space="preserve">• AI/AN 0.73, API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2026-09-01T09:39:56.798Z</dcterms:created>
  <dcterms:modified xsi:type="dcterms:W3CDTF">2026-09-01T09:39:56.799Z</dcterms:modified>
</cp:coreProperties>
</file>

<file path=docProps/custom.xml><?xml version="1.0" encoding="utf-8"?>
<Properties xmlns="http://schemas.openxmlformats.org/officeDocument/2006/custom-properties" xmlns:vt="http://schemas.openxmlformats.org/officeDocument/2006/docPropsVTypes"/>
</file>