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1.27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taken as a representative. What then became of it depended on whether another included publication already carried the same content. Where one did, the re-report added nothing and was excluded as a duplicate dataset: 55 reports, of which 51 were earlier editions of the annual cancer-statistics reports or of the Annual Report to the Nation, two were preprint versions of an included analysis, and two were book chapters. Where none did, the report was kept. This applied to the most recent eligible edition of a recurring series, which is the only edition carrying that series' current account; since the registry incidence it reports already came from the dedicated primary study for that registry and period, it contributed to the narrative synthesis alone.</w:t>
      </w:r>
    </w:p>
    <w:p>
      <w:pPr>
        <w:spacing w:after="160" w:line="360"/>
      </w:pPr>
      <w:r>
        <w:rPr>
          <w:rFonts w:ascii="Times New Roman" w:cs="Times New Roman" w:eastAsia="Times New Roman" w:hAnsi="Times New Roman"/>
          <w:color w:val="000000"/>
          <w:sz w:val="24"/>
          <w:szCs w:val="24"/>
        </w:rPr>
        <w:t xml:space="preserve">A publication drawing on the same registry family but a different period, region, or subset was a different matter. Such a report gave a distinct estimate and was retained as an overlapping one for the sensitivity analysis rather than excluded; its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reviewed the proposals of each kind.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the rates the source reported (with a reported or Poisson-derived variance, or none where neither was available)—and the label was retained for risk-of-bias scoring and for a provenance-restricted sensitivity analysis. Every estimate was recorded with the minority group as the numerator and the White reference as the denominator. Where a source reported a ratio the other way round, it was inverted to that direction and labelled as inverted rather than recomputed, which happened once: a study that reported its overall Black comparison as NHW over Black while giving its other group comparisons the usual way (Supplementary Note 1).</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source—18 cells, being 16 of the 36 receptor-defined subtype cells and the two Black cells above and below age 40—the estimate using an unstratified White comparator was kept as the representative. One further cell, Alaska Native, also rests on an unstratified White comparator although an NHW-comparator source exists for it, the broader-coverage rule above having selected the registry that reports against an unstratified White reference; 19 of the 85 representatives use such a reference in all. Each estimate's comparator is named in Supplementary Table 4; where such a cell appears in the main text it is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60" w:line="360"/>
      </w:pPr>
      <w:r>
        <w:rPr>
          <w:rFonts w:ascii="Times New Roman" w:cs="Times New Roman" w:eastAsia="Times New Roman" w:hAnsi="Times New Roman"/>
          <w:color w:val="000000"/>
          <w:sz w:val="24"/>
          <w:szCs w:val="24"/>
        </w:rPr>
        <w:t xml:space="preserve">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an interval could be recovered from what the source reports.</w:t>
      </w:r>
    </w:p>
    <w:p>
      <w:pPr>
        <w:spacing w:after="160" w:line="360"/>
      </w:pPr>
      <w:r>
        <w:rPr>
          <w:rFonts w:ascii="Times New Roman" w:cs="Times New Roman" w:eastAsia="Times New Roman" w:hAnsi="Times New Roman"/>
          <w:color w:val="000000"/>
          <w:sz w:val="24"/>
          <w:szCs w:val="24"/>
        </w:rPr>
        <w:t xml:space="preserve">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w:t>
      </w:r>
    </w:p>
    <w:p>
      <w:pPr>
        <w:spacing w:after="160" w:line="360"/>
      </w:pPr>
      <w:r>
        <w:rPr>
          <w:rFonts w:ascii="Times New Roman" w:cs="Times New Roman" w:eastAsia="Times New Roman" w:hAnsi="Times New Roman"/>
          <w:color w:val="000000"/>
          <w:sz w:val="24"/>
          <w:szCs w:val="24"/>
        </w:rPr>
        <w:t xml:space="preserve">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Two sources reported a standardized incidence ratio (SIR) rather than an IRR—South Asian women and Alaska Native women, each against the US White population; because an SIR indirectly standardizes to the reference population's age structure rather than expressing two directly standardized rates on a common standard, both were read on the same relative-to-White scale but labelled as SIRs (Supplementary Table 4) and excluded from the directly-reported-IRR sensitivity analysis. Neither is the representative for its cell, so no estimate reported in the main text is an SIR.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38 covering the principal comparisons—overall incidence, the disaggregated AANHPI and Hispanic-origin subgroups, AI/AN by region, Middle Eastern populations, and TNBC—are shown in Table 1; the remaining cells, chiefly the other receptor-defined subtypes and the age-specific comparisons, are in the Supplementary Materials. The reference group was NHW for 66 of the 85 representatives and an unstratified White group for the other 19; five of those are among the cells shown in Table 1, where they carry a †, and Supplementary Table 4 names the comparator of every extracted estimate in a column rather than by mark.</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two indirectly standardized SIRs—left 35 unchanged (4 changed, 46 dropped; Supplementary Table 6b); restricting to NHW-comparator estimates left 66 unchanged (1 changed, 18 dropped; 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19 of the 85 cells, most of them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follows the pattern in earlier Indian Health Service–linked regional reports,</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and the low Navajo-area rate that in the Navajo Nation registry analysis;</w:t>
      </w:r>
      <w:r>
        <w:rPr>
          <w:rFonts w:ascii="Times New Roman" w:cs="Times New Roman" w:eastAsia="Times New Roman" w:hAnsi="Times New Roman"/>
          <w:color w:val="000000"/>
          <w:sz w:val="24"/>
          <w:szCs w:val="24"/>
          <w:vertAlign w:val="superscript"/>
        </w:rPr>
        <w:t xml:space="preserve">48</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two national figures differ substantially—0.56 from an unlinked source and 0.87 from an IHS-linked one—but they come from separate studies, so the gap cannot be read as the effect of linkage alone. Three differences run together. The unlinked estimate covers 1999–2015 and the IHS-linked one 2010–2015, and the AI/AN ratio rose over that interval. The IHS-linked figure is confined to Purchased/Referred Care Delivery Area counties, and that restriction applies to the NHW comparison group as well, so its numerator and denominator both describe a different population from the national one. Those counties contain or adjoin federally recognized tribal lands and hold about 53% of the U.S. AI/AN population, with regional coverage from 16% in the East to all of Alaska,</w:t>
      </w:r>
      <w:r>
        <w:rPr>
          <w:rFonts w:ascii="Times New Roman" w:cs="Times New Roman" w:eastAsia="Times New Roman" w:hAnsi="Times New Roman"/>
          <w:color w:val="000000"/>
          <w:sz w:val="24"/>
          <w:szCs w:val="24"/>
          <w:vertAlign w:val="superscript"/>
        </w:rPr>
        <w:t xml:space="preserve">53</w:t>
      </w:r>
      <w:r>
        <w:rPr>
          <w:rFonts w:ascii="Times New Roman" w:cs="Times New Roman" w:eastAsia="Times New Roman" w:hAnsi="Times New Roman"/>
          <w:color w:val="000000"/>
          <w:sz w:val="24"/>
          <w:szCs w:val="24"/>
        </w:rPr>
        <w:t xml:space="preserve"> so the IHS-linked figures describe about half of this population rather than the whole of it, and the better-covered regions are those where AI/AN residents make up a larger share of the county population. Only the third difference—how AI/AN race was ascertained—is the linkage itself.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66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 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recorded—marked in the main-text table and figures (computed CI ‡; unstratified White †) and named in full in Supplementary Table 4—so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2240" w:h="15840"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586"/>
        <w:gridCol w:w="3310"/>
        <w:gridCol w:w="3090"/>
        <w:gridCol w:w="2648"/>
        <w:gridCol w:w="1766"/>
      </w:tblGrid>
      <w:tr>
        <w:trPr>
          <w:tblHeader/>
        </w:trPr>
        <w:tc>
          <w:tcPr>
            <w:tcW w:type="dxa" w:w="358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310"/>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3090"/>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648"/>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766"/>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throughout;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1080" w:right="1080" w:bottom="1080" w:left="108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Figures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r>
        <w:br w:type="page"/>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120" w:line="260"/>
      </w:pPr>
      <w:r>
        <w:rPr>
          <w:rFonts w:ascii="Malgun Gothic" w:cs="Malgun Gothic" w:eastAsia="Malgun Gothic" w:hAnsi="Malgun Gothic"/>
          <w:i/>
          <w:iCs/>
          <w:sz w:val="16"/>
          <w:szCs w:val="16"/>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2026-09-23T10:18:15.113Z</dcterms:created>
  <dcterms:modified xsi:type="dcterms:W3CDTF">2026-09-23T10:18:15.113Z</dcterms:modified>
</cp:coreProperties>
</file>

<file path=docProps/custom.xml><?xml version="1.0" encoding="utf-8"?>
<Properties xmlns="http://schemas.openxmlformats.org/officeDocument/2006/custom-properties" xmlns:vt="http://schemas.openxmlformats.org/officeDocument/2006/docPropsVTypes"/>
</file>