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54 of 73 cell representatives unchanged, with the 8 changed and 11 dropped cells concentrated in the disaggregated AANHPI subgroups and the age-specific cells; restricting to directly reported estimates left 35 unchanged (5 changed, 33 dropped); and restricting to NHW-comparator estimates left 55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against a national AI/AN aggregate of 0.56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2026-09-07T08:39:50.274Z</dcterms:created>
  <dcterms:modified xsi:type="dcterms:W3CDTF">2026-09-07T08:39:50.276Z</dcterms:modified>
</cp:coreProperties>
</file>

<file path=docProps/custom.xml><?xml version="1.0" encoding="utf-8"?>
<Properties xmlns="http://schemas.openxmlformats.org/officeDocument/2006/custom-properties" xmlns:vt="http://schemas.openxmlformats.org/officeDocument/2006/docPropsVTypes"/>
</file>