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color w:val="000000"/>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color w:val="000000"/>
          <w:sz w:val="28"/>
          <w:szCs w:val="28"/>
        </w:rPr>
        <w:t xml:space="preserve">Abstract</w:t>
      </w:r>
    </w:p>
    <w:p>
      <w:pPr>
        <w:spacing w:after="160" w:line="360"/>
      </w:pPr>
      <w:r>
        <w:rPr>
          <w:rFonts w:ascii="Times New Roman" w:cs="Times New Roman" w:eastAsia="Times New Roman" w:hAnsi="Times New Roman"/>
          <w:b/>
          <w:bCs/>
          <w:color w:val="000000"/>
          <w:sz w:val="24"/>
          <w:szCs w:val="24"/>
        </w:rPr>
        <w:t xml:space="preserve">Background.</w:t>
      </w:r>
      <w:r>
        <w:rPr>
          <w:rFonts w:ascii="Times New Roman" w:cs="Times New Roman" w:eastAsia="Times New Roman" w:hAnsi="Times New Roman"/>
          <w:color w:val="000000"/>
          <w:sz w:val="24"/>
          <w:szCs w:val="24"/>
        </w:rPr>
        <w:t xml:space="preserve"> In the United States, breast cancer incidence is usually reported for broad racial and ethnic categories. Each category groups several subgroups defined by ancestry, nativity, and region, with receptor-defined subtypes cutting across them, so an aggregate rate may not reflect which subgroups are at highest and lowest risk. Estimates for these subgroups are scattered across separate cancer-registry studies that differ in populations, periods, and reference groups, and are not readily comparable across the published literature.</w:t>
      </w:r>
    </w:p>
    <w:p>
      <w:pPr>
        <w:spacing w:after="160" w:line="360"/>
      </w:pPr>
      <w:r>
        <w:rPr>
          <w:rFonts w:ascii="Times New Roman" w:cs="Times New Roman" w:eastAsia="Times New Roman" w:hAnsi="Times New Roman"/>
          <w:b/>
          <w:bCs/>
          <w:color w:val="000000"/>
          <w:sz w:val="24"/>
          <w:szCs w:val="24"/>
        </w:rPr>
        <w:t xml:space="preserve">Methods.</w:t>
      </w:r>
      <w:r>
        <w:rPr>
          <w:rFonts w:ascii="Times New Roman" w:cs="Times New Roman" w:eastAsia="Times New Roman" w:hAnsi="Times New Roman"/>
          <w:color w:val="000000"/>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19 of the 85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color w:val="000000"/>
          <w:sz w:val="24"/>
          <w:szCs w:val="24"/>
        </w:rPr>
        <w:t xml:space="preserve">Results.</w:t>
      </w:r>
      <w:r>
        <w:rPr>
          <w:rFonts w:ascii="Times New Roman" w:cs="Times New Roman" w:eastAsia="Times New Roman" w:hAnsi="Times New Roman"/>
          <w:color w:val="000000"/>
          <w:sz w:val="24"/>
          <w:szCs w:val="24"/>
        </w:rPr>
        <w:t xml:space="preserve"> Of 4,793 records screened, 176 studies were included—58 eligible for quantitative synthesis and 118 narrative. Overall incidence was lower than NHW in each aggregate group: Hispanic/Latina 0.72, Asian American, Native Hawaiian, and Pacific Islander (AANHPI) 0.77, AI/AN 0.87, and non-Hispanic Black (NHB) 0.93. Within-group estimates ranged widely—0.16 (Hmong) to 1.27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color w:val="000000"/>
          <w:sz w:val="24"/>
          <w:szCs w:val="24"/>
        </w:rPr>
        <w:t xml:space="preserve">Conclusions.</w:t>
      </w:r>
      <w:r>
        <w:rPr>
          <w:rFonts w:ascii="Times New Roman" w:cs="Times New Roman" w:eastAsia="Times New Roman" w:hAnsi="Times New Roman"/>
          <w:color w:val="000000"/>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color w:val="000000"/>
          <w:sz w:val="28"/>
          <w:szCs w:val="28"/>
        </w:rPr>
        <w:t xml:space="preserve">Introduction</w:t>
      </w:r>
    </w:p>
    <w:p>
      <w:pPr>
        <w:spacing w:after="160" w:line="360"/>
      </w:pPr>
      <w:r>
        <w:rPr>
          <w:rFonts w:ascii="Times New Roman" w:cs="Times New Roman" w:eastAsia="Times New Roman" w:hAnsi="Times New Roman"/>
          <w:color w:val="000000"/>
          <w:sz w:val="24"/>
          <w:szCs w:val="24"/>
        </w:rPr>
        <w:t xml:space="preserve">Breast cancer is the most commonly diagnosed cancer in U.S. women and a leading cause of cancer death.</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NHB women also have the highest rate of triple-negative breast cancer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and their tumors, like those in several other minority groups, are diagnosed at younger ages than in NHW women.</w:t>
      </w:r>
      <w:r>
        <w:rPr>
          <w:rFonts w:ascii="Times New Roman" w:cs="Times New Roman" w:eastAsia="Times New Roman" w:hAnsi="Times New Roman"/>
          <w:color w:val="000000"/>
          <w:sz w:val="24"/>
          <w:szCs w:val="24"/>
          <w:vertAlign w:val="superscript"/>
        </w:rPr>
        <w:t xml:space="preserve">3</w:t>
      </w:r>
    </w:p>
    <w:p>
      <w:pPr>
        <w:spacing w:after="160" w:line="360"/>
      </w:pPr>
      <w:r>
        <w:rPr>
          <w:rFonts w:ascii="Times New Roman" w:cs="Times New Roman" w:eastAsia="Times New Roman" w:hAnsi="Times New Roman"/>
          <w:color w:val="000000"/>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color w:val="000000"/>
          <w:sz w:val="24"/>
          <w:szCs w:val="24"/>
          <w:vertAlign w:val="superscript"/>
        </w:rPr>
        <w:t xml:space="preserve">6</w:t>
      </w:r>
      <w:r>
        <w:rPr>
          <w:rFonts w:ascii="Times New Roman" w:cs="Times New Roman" w:eastAsia="Times New Roman" w:hAnsi="Times New Roman"/>
          <w:color w:val="000000"/>
          <w:sz w:val="24"/>
          <w:szCs w:val="24"/>
        </w:rPr>
        <w:t xml:space="preserve"> and rates differ again across the individual Asian ethnicities followed over time.</w:t>
      </w:r>
      <w:r>
        <w:rPr>
          <w:rFonts w:ascii="Times New Roman" w:cs="Times New Roman" w:eastAsia="Times New Roman" w:hAnsi="Times New Roman"/>
          <w:color w:val="000000"/>
          <w:sz w:val="24"/>
          <w:szCs w:val="24"/>
          <w:vertAlign w:val="superscript"/>
        </w:rPr>
        <w:t xml:space="preserve">7</w:t>
      </w:r>
      <w:r>
        <w:rPr>
          <w:rFonts w:ascii="Times New Roman" w:cs="Times New Roman" w:eastAsia="Times New Roman" w:hAnsi="Times New Roman"/>
          <w:color w:val="000000"/>
          <w:sz w:val="24"/>
          <w:szCs w:val="24"/>
        </w:rPr>
        <w:t xml:space="preserve"> Hispanic/Latina women are not one group either: incidence differs by country of origin,</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and among California Hispanic women it varies further with nativity and neighborhood.</w:t>
      </w:r>
      <w:r>
        <w:rPr>
          <w:rFonts w:ascii="Times New Roman" w:cs="Times New Roman" w:eastAsia="Times New Roman" w:hAnsi="Times New Roman"/>
          <w:color w:val="000000"/>
          <w:sz w:val="24"/>
          <w:szCs w:val="24"/>
          <w:vertAlign w:val="superscript"/>
        </w:rPr>
        <w:t xml:space="preserve">9</w:t>
      </w:r>
      <w:r>
        <w:rPr>
          <w:rFonts w:ascii="Times New Roman" w:cs="Times New Roman" w:eastAsia="Times New Roman" w:hAnsi="Times New Roman"/>
          <w:color w:val="000000"/>
          <w:sz w:val="24"/>
          <w:szCs w:val="24"/>
        </w:rPr>
        <w:t xml:space="preserve"> For American Indian and Alaska Native (AI/AN) women, the aggregate rate also depends on how race is ascertained: registries that assign race by observation tend to misclassify and undercount AI/AN cases, so an unlinked-registry rate can understate their true incidence.</w:t>
      </w:r>
      <w:r>
        <w:rPr>
          <w:rFonts w:ascii="Times New Roman" w:cs="Times New Roman" w:eastAsia="Times New Roman" w:hAnsi="Times New Roman"/>
          <w:color w:val="000000"/>
          <w:sz w:val="24"/>
          <w:szCs w:val="24"/>
          <w:vertAlign w:val="superscript"/>
        </w:rPr>
        <w:t xml:space="preserve">10</w:t>
      </w:r>
      <w:r>
        <w:rPr>
          <w:rFonts w:ascii="Times New Roman" w:cs="Times New Roman" w:eastAsia="Times New Roman" w:hAnsi="Times New Roman"/>
          <w:color w:val="000000"/>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so which group ranks highest depends on the tumor being counted.</w:t>
      </w:r>
    </w:p>
    <w:p>
      <w:pPr>
        <w:spacing w:after="160" w:line="360"/>
      </w:pPr>
      <w:r>
        <w:rPr>
          <w:rFonts w:ascii="Times New Roman" w:cs="Times New Roman" w:eastAsia="Times New Roman" w:hAnsi="Times New Roman"/>
          <w:color w:val="000000"/>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reducing overlapping ones to a single representative, and appraising the quality of what remains.</w:t>
      </w:r>
    </w:p>
    <w:p>
      <w:pPr>
        <w:spacing w:after="160" w:line="360"/>
      </w:pPr>
      <w:r>
        <w:rPr>
          <w:rFonts w:ascii="Times New Roman" w:cs="Times New Roman" w:eastAsia="Times New Roman" w:hAnsi="Times New Roman"/>
          <w:color w:val="000000"/>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analytic cell,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color w:val="000000"/>
          <w:sz w:val="28"/>
          <w:szCs w:val="28"/>
        </w:rPr>
        <w:t xml:space="preserve">Methods</w:t>
      </w:r>
    </w:p>
    <w:p>
      <w:pPr>
        <w:pStyle w:val="Heading2"/>
        <w:keepNext/>
        <w:spacing w:after="80" w:line="360"/>
      </w:pPr>
      <w:r>
        <w:rPr>
          <w:rFonts w:ascii="Times New Roman" w:cs="Times New Roman" w:eastAsia="Times New Roman" w:hAnsi="Times New Roman"/>
          <w:b/>
          <w:bCs/>
          <w:color w:val="000000"/>
          <w:sz w:val="24"/>
          <w:szCs w:val="24"/>
        </w:rPr>
        <w:t xml:space="preserve">Protocol and reporting</w:t>
      </w:r>
    </w:p>
    <w:p>
      <w:pPr>
        <w:spacing w:after="160" w:line="360"/>
      </w:pPr>
      <w:r>
        <w:rPr>
          <w:rFonts w:ascii="Times New Roman" w:cs="Times New Roman" w:eastAsia="Times New Roman" w:hAnsi="Times New Roman"/>
          <w:color w:val="000000"/>
          <w:sz w:val="24"/>
          <w:szCs w:val="24"/>
        </w:rPr>
        <w:t xml:space="preserve">The review followed the Preferred Reporting Items for Systematic Reviews and Meta-Analyses (PRISMA) 2020 statement</w:t>
      </w:r>
      <w:r>
        <w:rPr>
          <w:rFonts w:ascii="Times New Roman" w:cs="Times New Roman" w:eastAsia="Times New Roman" w:hAnsi="Times New Roman"/>
          <w:color w:val="000000"/>
          <w:sz w:val="24"/>
          <w:szCs w:val="24"/>
          <w:vertAlign w:val="superscript"/>
        </w:rPr>
        <w:t xml:space="preserve">13</w:t>
      </w:r>
      <w:r>
        <w:rPr>
          <w:rFonts w:ascii="Times New Roman" w:cs="Times New Roman" w:eastAsia="Times New Roman" w:hAnsi="Times New Roman"/>
          <w:color w:val="000000"/>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and the four restriction-based sensitivity analyses.</w:t>
      </w:r>
    </w:p>
    <w:p>
      <w:pPr>
        <w:pStyle w:val="Heading2"/>
        <w:keepNext/>
        <w:spacing w:after="80" w:line="360"/>
      </w:pPr>
      <w:r>
        <w:rPr>
          <w:rFonts w:ascii="Times New Roman" w:cs="Times New Roman" w:eastAsia="Times New Roman" w:hAnsi="Times New Roman"/>
          <w:b/>
          <w:bCs/>
          <w:color w:val="000000"/>
          <w:sz w:val="24"/>
          <w:szCs w:val="24"/>
        </w:rPr>
        <w:t xml:space="preserve">Search strategy</w:t>
      </w:r>
    </w:p>
    <w:p>
      <w:pPr>
        <w:spacing w:after="160" w:line="360"/>
      </w:pPr>
      <w:r>
        <w:rPr>
          <w:rFonts w:ascii="Times New Roman" w:cs="Times New Roman" w:eastAsia="Times New Roman" w:hAnsi="Times New Roman"/>
          <w:color w:val="000000"/>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color w:val="000000"/>
          <w:sz w:val="24"/>
          <w:szCs w:val="24"/>
        </w:rPr>
        <w:t xml:space="preserve">Eligibility criteria</w:t>
      </w:r>
    </w:p>
    <w:p>
      <w:pPr>
        <w:spacing w:after="160" w:line="360"/>
      </w:pPr>
      <w:r>
        <w:rPr>
          <w:rFonts w:ascii="Times New Roman" w:cs="Times New Roman" w:eastAsia="Times New Roman" w:hAnsi="Times New Roman"/>
          <w:color w:val="000000"/>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color w:val="000000"/>
          <w:sz w:val="24"/>
          <w:szCs w:val="24"/>
        </w:rPr>
        <w:t xml:space="preserve">quantitative synthesis</w:t>
      </w:r>
      <w:r>
        <w:rPr>
          <w:rFonts w:ascii="Times New Roman" w:cs="Times New Roman" w:eastAsia="Times New Roman" w:hAnsi="Times New Roman"/>
          <w:color w:val="000000"/>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color w:val="000000"/>
          <w:sz w:val="24"/>
          <w:szCs w:val="24"/>
        </w:rPr>
        <w:t xml:space="preserve">narrative synthesis</w:t>
      </w:r>
      <w:r>
        <w:rPr>
          <w:rFonts w:ascii="Times New Roman" w:cs="Times New Roman" w:eastAsia="Times New Roman" w:hAnsi="Times New Roman"/>
          <w:color w:val="000000"/>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studies of both kinds were retained because the reference and minority rates came from the same source within each study.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w:t>
      </w:r>
    </w:p>
    <w:p>
      <w:pPr>
        <w:spacing w:after="160" w:line="360"/>
      </w:pPr>
      <w:r>
        <w:rPr>
          <w:rFonts w:ascii="Times New Roman" w:cs="Times New Roman" w:eastAsia="Times New Roman" w:hAnsi="Times New Roman"/>
          <w:color w:val="000000"/>
          <w:sz w:val="24"/>
          <w:szCs w:val="24"/>
        </w:rPr>
        <w:t xml:space="preserve">A publication that re-reported an estimate already captured from the same registry, diagnosis period, and population was not an independent estimate, so it was never taken as a representative. What then became of it depended on whether another included publication already carried the same content. Where one did, the re-report added nothing and was excluded as a duplicate dataset: 55 reports, of which 51 were earlier editions of the annual cancer-statistics reports or of the Annual Report to the Nation, two were preprint versions of an included analysis, and two were book chapters. Where none did, the report was kept. This applied to the most recent eligible edition of a recurring series, which is the only edition carrying that series' current account; since the registry incidence it reports already came from the dedicated primary study for that registry and period, it contributed to the narrative synthesis alone.</w:t>
      </w:r>
    </w:p>
    <w:p>
      <w:pPr>
        <w:spacing w:after="160" w:line="360"/>
      </w:pPr>
      <w:r>
        <w:rPr>
          <w:rFonts w:ascii="Times New Roman" w:cs="Times New Roman" w:eastAsia="Times New Roman" w:hAnsi="Times New Roman"/>
          <w:color w:val="000000"/>
          <w:sz w:val="24"/>
          <w:szCs w:val="24"/>
        </w:rPr>
        <w:t xml:space="preserve">A publication drawing on the same registry family but a different period, region, or subset was a different matter. Such a report gave a distinct estimate and was retained as an overlapping one for the sensitivity analysis rather than excluded; its handling is described under Selection of a representative population-based estimate.</w:t>
      </w:r>
    </w:p>
    <w:p>
      <w:pPr>
        <w:pStyle w:val="Heading2"/>
        <w:keepNext/>
        <w:spacing w:after="80" w:line="360"/>
      </w:pPr>
      <w:r>
        <w:rPr>
          <w:rFonts w:ascii="Times New Roman" w:cs="Times New Roman" w:eastAsia="Times New Roman" w:hAnsi="Times New Roman"/>
          <w:b/>
          <w:bCs/>
          <w:color w:val="000000"/>
          <w:sz w:val="24"/>
          <w:szCs w:val="24"/>
        </w:rPr>
        <w:t xml:space="preserve">Study selection and data extraction</w:t>
      </w:r>
    </w:p>
    <w:p>
      <w:pPr>
        <w:spacing w:after="160" w:line="360"/>
      </w:pPr>
      <w:r>
        <w:rPr>
          <w:rFonts w:ascii="Times New Roman" w:cs="Times New Roman" w:eastAsia="Times New Roman" w:hAnsi="Times New Roman"/>
          <w:color w:val="000000"/>
          <w:sz w:val="24"/>
          <w:szCs w:val="24"/>
        </w:rPr>
        <w:t xml:space="preserve">Records were de-duplicated across databases (4,306 duplicates removed, leaving 4,793 unique records). Titles and abstracts were screened against the eligibility criteria set out above by a large language model (Anthropic's Claude) under the author's direction, working as a single human reviewer with model assistance rather than as two independent reviewers. Records were presented to the model in batches, each showing the title and the abstract truncated to the first 600 characters; the model applied the criteria to each record and proposed an include or exclude decision, and the author reviewed the proposals of each kind. This first pass marked 242 records for full-text retrieval and 4,551 for exclusion under three standardized reasons—not relevant to the research question, not a U.S. population-based or registry study, and editorials, commentaries, letters, or conference abstracts.</w:t>
      </w:r>
    </w:p>
    <w:p>
      <w:pPr>
        <w:spacing w:after="160" w:line="360"/>
      </w:pPr>
      <w:r>
        <w:rPr>
          <w:rFonts w:ascii="Times New Roman" w:cs="Times New Roman" w:eastAsia="Times New Roman" w:hAnsi="Times New Roman"/>
          <w:color w:val="000000"/>
          <w:sz w:val="24"/>
          <w:szCs w:val="24"/>
        </w:rPr>
        <w:t xml:space="preserve">Because a single-reviewer screen can miss an eligible study whose abstract omits one of the review's key terms, the excluded records were re-screened with an explicit keyword filter. A record was flagged when its title and abstract together carried at least four of five signal groups: breast cancer (required), an incidence or age-adjusted-rate term (age-standardized rate, IRR, SIR, or per 100,000), a race or ethnicity term, a U.S. context, and a cancer-registry or population-based source. The 183 records carrying all five signals and the 478 missing a single signal were re-read at the full abstract. The re-screen surfaced 17 records for re-adjudication: 14 were reinstated (6 for the quantitative and 8 for the narrative synthesis), 2 were confirmed ineligible on the pre-specified criteria—one on outcome and one on population—and 1 could not be retrieved. Rerouting these 17 records left 4,534 records excluded at screening and 259 reports sought for retrieval.</w:t>
      </w:r>
    </w:p>
    <w:p>
      <w:pPr>
        <w:spacing w:after="160" w:line="360"/>
      </w:pPr>
      <w:r>
        <w:rPr>
          <w:rFonts w:ascii="Times New Roman" w:cs="Times New Roman" w:eastAsia="Times New Roman" w:hAnsi="Times New Roman"/>
          <w:color w:val="000000"/>
          <w:sz w:val="24"/>
          <w:szCs w:val="24"/>
        </w:rPr>
        <w:t xml:space="preserve">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The model assisted data extraction and cross-checked each extracted value against its source, and every included estimate was verified by the author against the source table, figure, or text. In all, 176 publications were included in the systematic review; of these, 58 were eligible for quantitative synthesis and the remaining 118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color w:val="000000"/>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color w:val="000000"/>
          <w:sz w:val="24"/>
          <w:szCs w:val="24"/>
        </w:rPr>
        <w:t xml:space="preserve">From each study contributing quantitative data, the cancer registry, geographic coverage, diagnosis period, age range, standard population, racial or ethnic group and comparator, outcome (overall or subtype), the reported estimate, and its confidence interval were extracted. Each estimate was labelled by provenance—directly reported IRR or SIR, or computed from the rates the source reported (with a reported or Poisson-derived variance, or none where neither was available)—and the label was retained for risk-of-bias scoring and for a provenance-restricted sensitivity analysis. Every estimate was recorded with the minority group as the numerator and the White reference as the denominator. Where a source reported a ratio the other way round, it was inverted to that direction and labelled as inverted rather than recomputed, which happened once: a study that reported its overall Black comparison as NHW over Black while giving its other group comparisons the usual way (Supplementary Note 1).</w:t>
      </w:r>
    </w:p>
    <w:p>
      <w:pPr>
        <w:pStyle w:val="Heading2"/>
        <w:keepNext/>
        <w:spacing w:after="80" w:line="360"/>
      </w:pPr>
      <w:r>
        <w:rPr>
          <w:rFonts w:ascii="Times New Roman" w:cs="Times New Roman" w:eastAsia="Times New Roman" w:hAnsi="Times New Roman"/>
          <w:b/>
          <w:bCs/>
          <w:color w:val="000000"/>
          <w:sz w:val="24"/>
          <w:szCs w:val="24"/>
        </w:rPr>
        <w:t xml:space="preserve">Selection of a representative population-based estimate</w:t>
      </w:r>
    </w:p>
    <w:p>
      <w:pPr>
        <w:spacing w:after="160" w:line="360"/>
      </w:pPr>
      <w:r>
        <w:rPr>
          <w:rFonts w:ascii="Times New Roman" w:cs="Times New Roman" w:eastAsia="Times New Roman" w:hAnsi="Times New Roman"/>
          <w:color w:val="000000"/>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color w:val="000000"/>
          <w:sz w:val="24"/>
          <w:szCs w:val="24"/>
        </w:rPr>
        <w:t xml:space="preserve">analytic cell</w:t>
      </w:r>
      <w:r>
        <w:rPr>
          <w:rFonts w:ascii="Times New Roman" w:cs="Times New Roman" w:eastAsia="Times New Roman" w:hAnsi="Times New Roman"/>
          <w:color w:val="000000"/>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color w:val="000000"/>
          <w:sz w:val="24"/>
          <w:szCs w:val="24"/>
        </w:rPr>
        <w:t xml:space="preserve">representative population-based estimate</w:t>
      </w:r>
      <w:r>
        <w:rPr>
          <w:rFonts w:ascii="Times New Roman" w:cs="Times New Roman" w:eastAsia="Times New Roman" w:hAnsi="Times New Roman"/>
          <w:color w:val="000000"/>
          <w:sz w:val="24"/>
          <w:szCs w:val="24"/>
        </w:rPr>
        <w:t xml:space="preserve"> was selected for each cell. Each estimate was assigned to a registry "family," and the registry family, group, analytic dimension, comparator, diagnosis period, and standard population of each estimate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source—18 cells, being 16 of the 36 receptor-defined subtype cells and the two Black cells above and below age 40—the estimate using an unstratified White comparator was kept as the representative. One further cell, Alaska Native, also rests on an unstratified White comparator although an NHW-comparator source exists for it, the broader-coverage rule above having selected the registry that reports against an unstratified White reference; 19 of the 85 representatives use such a reference in all. Each estimate's comparator is named in Supplementary Table 4; where such a cell appears in the main text it is marked †.</w:t>
      </w:r>
    </w:p>
    <w:p>
      <w:pPr>
        <w:spacing w:after="160" w:line="360"/>
      </w:pPr>
      <w:r>
        <w:rPr>
          <w:rFonts w:ascii="Times New Roman" w:cs="Times New Roman" w:eastAsia="Times New Roman" w:hAnsi="Times New Roman"/>
          <w:color w:val="000000"/>
          <w:sz w:val="24"/>
          <w:szCs w:val="24"/>
        </w:rPr>
        <w:t xml:space="preserve">For AI/AN populations this order was overridden in favour of ascertainment validity: because unlinked registries tend to undercount this population, an estimate with Indian Health Service–based ascertainment—the IHS-PRCDA linkage, or a dedicated registry such as the Alaska Native Tumor Registry—was preferred over an unlinked-registry estimate for the same cell; this ascertainment preference took priority over the coverage and comparator-type criteria above. Alaska Native women are an example. The ascertainment-preferred source—the IHS-eligibility-based Alaska Native Tumor Registry—reports against an unstratified White reference rather than NHW. It was kept as the representative because completeness of ascertainment outweighed comparator type, and the NHW-comparator alternatives were carried in the sensitivity analysis.</w:t>
      </w:r>
    </w:p>
    <w:p>
      <w:pPr>
        <w:spacing w:after="160" w:line="360"/>
      </w:pPr>
      <w:r>
        <w:rPr>
          <w:rFonts w:ascii="Times New Roman" w:cs="Times New Roman" w:eastAsia="Times New Roman" w:hAnsi="Times New Roman"/>
          <w:color w:val="000000"/>
          <w:sz w:val="24"/>
          <w:szCs w:val="24"/>
        </w:rPr>
        <w:t xml:space="preserve">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color w:val="000000"/>
          <w:sz w:val="24"/>
          <w:szCs w:val="24"/>
        </w:rPr>
        <w:t xml:space="preserve">Risk of bias</w:t>
      </w:r>
    </w:p>
    <w:p>
      <w:pPr>
        <w:spacing w:after="160" w:line="360"/>
      </w:pPr>
      <w:r>
        <w:rPr>
          <w:rFonts w:ascii="Times New Roman" w:cs="Times New Roman" w:eastAsia="Times New Roman" w:hAnsi="Times New Roman"/>
          <w:color w:val="000000"/>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color w:val="000000"/>
          <w:sz w:val="24"/>
          <w:szCs w:val="24"/>
          <w:vertAlign w:val="superscript"/>
        </w:rPr>
        <w:t xml:space="preserve">14</w:t>
      </w:r>
      <w:r>
        <w:rPr>
          <w:rFonts w:ascii="Times New Roman" w:cs="Times New Roman" w:eastAsia="Times New Roman" w:hAnsi="Times New Roman"/>
          <w:color w:val="000000"/>
          <w:sz w:val="24"/>
          <w:szCs w:val="24"/>
        </w:rPr>
        <w:t xml:space="preserve"> applied to each of the 58 extracted studies by the author (a single assessor) with large-language-model assistance (Supplementary Table 5). Item 9 (survey response rate) was recorded as not applicable, census-like registry ascertainment having no response rate, so each study's rating used the eight applicable items. The checklist records a Yes, No, Unclear or Not applicable for each item and summarises a study as include, exclude or seek further information rather than as a graded rating, so the following rule was set for this review: low risk of bias required at most one "No" with a "Yes" on the two items treated here as key—valid measurement (item 7, including race and ethnicity ascertainment) and appropriate analysis (item 8, age standardization with a variance); three or more "No" ratings gave high risk of bias, and any other combination a moderate rating.</w:t>
      </w:r>
    </w:p>
    <w:p>
      <w:pPr>
        <w:spacing w:after="160" w:line="360"/>
      </w:pPr>
      <w:r>
        <w:rPr>
          <w:rFonts w:ascii="Times New Roman" w:cs="Times New Roman" w:eastAsia="Times New Roman" w:hAnsi="Times New Roman"/>
          <w:color w:val="000000"/>
          <w:sz w:val="24"/>
          <w:szCs w:val="24"/>
        </w:rPr>
        <w:t xml:space="preserve">Each study was appraised as the source of the estimates taken from it here rather than as a whole publication, and the items divide accordingly. Items 1 to 7 describe the study and its registry—the sample frame, case ascertainment, case numbers, description of setting and population, coverage, identification of invasive breast cancer, and how race and ethnicity were measured—and were judged at that level, so they do not change with which estimates were extracted. Item 8 depends on the estimates themselves and was judged on those extracted for this review, a variance counting as available when the source printed an interval or when an interval could be recovered from what the source reports.</w:t>
      </w:r>
    </w:p>
    <w:p>
      <w:pPr>
        <w:spacing w:after="160" w:line="360"/>
      </w:pPr>
      <w:r>
        <w:rPr>
          <w:rFonts w:ascii="Times New Roman" w:cs="Times New Roman" w:eastAsia="Times New Roman" w:hAnsi="Times New Roman"/>
          <w:color w:val="000000"/>
          <w:sz w:val="24"/>
          <w:szCs w:val="24"/>
        </w:rPr>
        <w:t xml:space="preserve">A study whose extracted estimates carry no interval therefore rates "No" on item 8 whether or not the source printed the ratio itself, which places a point estimate without a variance at moderate rather than low risk of bias. That rating reflects incomplete reporting of uncertainty rather than evidence that the estimate is biased, and it is the reason several large registry analyses that report ratios without intervals are rated moderate.</w:t>
      </w:r>
    </w:p>
    <w:p>
      <w:pPr>
        <w:spacing w:after="160" w:line="360"/>
      </w:pPr>
      <w:r>
        <w:rPr>
          <w:rFonts w:ascii="Times New Roman" w:cs="Times New Roman" w:eastAsia="Times New Roman" w:hAnsi="Times New Roman"/>
          <w:color w:val="000000"/>
          <w:sz w:val="24"/>
          <w:szCs w:val="24"/>
        </w:rPr>
        <w:t xml:space="preserve">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color w:val="000000"/>
          <w:sz w:val="24"/>
          <w:szCs w:val="24"/>
        </w:rPr>
        <w:t xml:space="preserve">Statistical analysis</w:t>
      </w:r>
    </w:p>
    <w:p>
      <w:pPr>
        <w:spacing w:after="160" w:line="360"/>
      </w:pPr>
      <w:r>
        <w:rPr>
          <w:rFonts w:ascii="Times New Roman" w:cs="Times New Roman" w:eastAsia="Times New Roman" w:hAnsi="Times New Roman"/>
          <w:color w:val="000000"/>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Two sources reported a standardized incidence ratio (SIR) rather than an IRR—South Asian women and Alaska Native women, each against the US White population; because an SIR indirectly standardizes to the reference population's age structure rather than expressing two directly standardized rates on a common standard, both were read on the same relative-to-White scale but labelled as SIRs (Supplementary Table 4) and excluded from the directly-reported-IRR sensitivity analysis. Neither is the representative for its cell, so no estimate reported in the main text is an SIR.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w:t>
      </w:r>
      <w:r>
        <w:rPr>
          <w:rFonts w:ascii="Times New Roman" w:cs="Times New Roman" w:eastAsia="Times New Roman" w:hAnsi="Times New Roman"/>
          <w:color w:val="000000"/>
          <w:sz w:val="24"/>
          <w:szCs w:val="24"/>
          <w:vertAlign w:val="superscript"/>
        </w:rPr>
        <w:t xml:space="preserve">64</w:t>
      </w:r>
      <w:r>
        <w:rPr>
          <w:rFonts w:ascii="Times New Roman" w:cs="Times New Roman" w:eastAsia="Times New Roman" w:hAnsi="Times New Roman"/>
          <w:color w:val="000000"/>
          <w:sz w:val="24"/>
          <w:szCs w:val="24"/>
        </w:rPr>
        <w:t xml:space="preserve">, its source having reported no in-paper White comparator; it was retained only as an overlap record, not as a representative. For the non-independence reason given above, these estimates were not combined into a pooled random-effects estimate; the racial and ethnic differences and the subgroup heterogeneity are presented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color w:val="000000"/>
          <w:sz w:val="24"/>
          <w:szCs w:val="24"/>
        </w:rPr>
        <w:t xml:space="preserve">All quantitative results were generated from a single master extraction dataset, from which the main-text table, the forest figures, and the sensitivity tables were regenerated.</w:t>
      </w:r>
    </w:p>
    <w:p>
      <w:pPr>
        <w:pStyle w:val="Heading1"/>
        <w:keepNext/>
        <w:spacing w:after="120" w:line="360"/>
      </w:pPr>
      <w:r>
        <w:rPr>
          <w:rFonts w:ascii="Times New Roman" w:cs="Times New Roman" w:eastAsia="Times New Roman" w:hAnsi="Times New Roman"/>
          <w:b/>
          <w:bCs/>
          <w:color w:val="000000"/>
          <w:sz w:val="28"/>
          <w:szCs w:val="28"/>
        </w:rPr>
        <w:t xml:space="preserve">Results</w:t>
      </w:r>
    </w:p>
    <w:p>
      <w:pPr>
        <w:pStyle w:val="Heading2"/>
        <w:keepNext/>
        <w:spacing w:after="80" w:line="360"/>
      </w:pPr>
      <w:r>
        <w:rPr>
          <w:rFonts w:ascii="Times New Roman" w:cs="Times New Roman" w:eastAsia="Times New Roman" w:hAnsi="Times New Roman"/>
          <w:b/>
          <w:bCs/>
          <w:color w:val="000000"/>
          <w:sz w:val="24"/>
          <w:szCs w:val="24"/>
        </w:rPr>
        <w:t xml:space="preserve">Selection and characteristics of included studies</w:t>
      </w:r>
    </w:p>
    <w:p>
      <w:pPr>
        <w:spacing w:after="160" w:line="360"/>
      </w:pPr>
      <w:r>
        <w:rPr>
          <w:rFonts w:ascii="Times New Roman" w:cs="Times New Roman" w:eastAsia="Times New Roman" w:hAnsi="Times New Roman"/>
          <w:color w:val="000000"/>
          <w:sz w:val="24"/>
          <w:szCs w:val="24"/>
        </w:rPr>
        <w:t xml:space="preserve">The four databases returned 9,099 records; 4,306 duplicates were removed, leaving 4,793 unique records for title and abstract screening. Full text was sought for 259 reports; 10 could not be retrieved, and of the 249 assessed, 73 were excluded (reasons in Supplementary Table 3), giving 176 included studies (Figure 1). Of these, 58 were eligible for quantitative synthesis and entered the analysis, contributing 218 individual estimates across racial/ethnic groups and analytic dimensions</w:t>
      </w:r>
      <w:r>
        <w:rPr>
          <w:rFonts w:ascii="Times New Roman" w:cs="Times New Roman" w:eastAsia="Times New Roman" w:hAnsi="Times New Roman"/>
          <w:color w:val="000000"/>
          <w:sz w:val="24"/>
          <w:szCs w:val="24"/>
          <w:vertAlign w:val="superscript"/>
        </w:rPr>
        <w:t xml:space="preserve">2–9,11–12,15–63</w:t>
      </w:r>
      <w:r>
        <w:rPr>
          <w:rFonts w:ascii="Times New Roman" w:cs="Times New Roman" w:eastAsia="Times New Roman" w:hAnsi="Times New Roman"/>
          <w:color w:val="000000"/>
          <w:sz w:val="24"/>
          <w:szCs w:val="24"/>
        </w:rPr>
        <w:t xml:space="preserve">—22 supplied a cell representative, and the remainder contributed overlapping estimates carried only in the sensitivity analysis; the remaining 118 informed the narrative synthesis (176 = 58 + 118). The extracted studies were published between 2002 and 2026 and drew on SEER, NPCR and USCS, NAACCR, IHS-linked and tribal registries, and individual state or regional registries (Supplementary Table 2). After collapsing overlapping registry-family estimates, 85 representative estimates remained, one per analytic cell; all are listed in Supplementary Table 4, and the 38 covering the principal comparisons—overall incidence, the disaggregated AANHPI and Hispanic-origin subgroups, AI/AN by region, Middle Eastern populations, and TNBC—are shown in Table 1; the remaining cells, chiefly the other receptor-defined subtypes and the age-specific comparisons, are in the Supplementary Materials. The reference group was NHW for 66 of the 85 representatives and an unstratified White group for the other 19; five of those are among the cells shown in Table 1, where they carry a †, and Supplementary Table 4 names the comparator of every extracted estimate in a column rather than by mark.</w:t>
      </w:r>
    </w:p>
    <w:p>
      <w:pPr>
        <w:pStyle w:val="Heading2"/>
        <w:keepNext/>
        <w:spacing w:after="80" w:line="360"/>
      </w:pPr>
      <w:r>
        <w:rPr>
          <w:rFonts w:ascii="Times New Roman" w:cs="Times New Roman" w:eastAsia="Times New Roman" w:hAnsi="Times New Roman"/>
          <w:b/>
          <w:bCs/>
          <w:color w:val="000000"/>
          <w:sz w:val="24"/>
          <w:szCs w:val="24"/>
        </w:rPr>
        <w:t xml:space="preserve">Overall invasive breast cancer incidence</w:t>
      </w:r>
    </w:p>
    <w:p>
      <w:pPr>
        <w:spacing w:after="160" w:line="360"/>
      </w:pPr>
      <w:r>
        <w:rPr>
          <w:rFonts w:ascii="Times New Roman" w:cs="Times New Roman" w:eastAsia="Times New Roman" w:hAnsi="Times New Roman"/>
          <w:color w:val="000000"/>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color w:val="000000"/>
          <w:sz w:val="24"/>
          <w:szCs w:val="24"/>
        </w:rPr>
        <w:t xml:space="preserve">Disaggregated AANHPI subgroups</w:t>
      </w:r>
    </w:p>
    <w:p>
      <w:pPr>
        <w:spacing w:after="160" w:line="360"/>
      </w:pPr>
      <w:r>
        <w:rPr>
          <w:rFonts w:ascii="Times New Roman" w:cs="Times New Roman" w:eastAsia="Times New Roman" w:hAnsi="Times New Roman"/>
          <w:color w:val="000000"/>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1.27 (1.21–1.33), with an NHPI aggregate of 1.21 (1.17–1.26) (Table 1; Figure 2).</w:t>
      </w:r>
    </w:p>
    <w:p>
      <w:pPr>
        <w:pStyle w:val="Heading2"/>
        <w:keepNext/>
        <w:spacing w:after="80" w:line="360"/>
      </w:pPr>
      <w:r>
        <w:rPr>
          <w:rFonts w:ascii="Times New Roman" w:cs="Times New Roman" w:eastAsia="Times New Roman" w:hAnsi="Times New Roman"/>
          <w:b/>
          <w:bCs/>
          <w:color w:val="000000"/>
          <w:sz w:val="24"/>
          <w:szCs w:val="24"/>
        </w:rPr>
        <w:t xml:space="preserve">Hispanic/Latina by country of origin</w:t>
      </w:r>
    </w:p>
    <w:p>
      <w:pPr>
        <w:spacing w:after="160" w:line="360"/>
      </w:pPr>
      <w:r>
        <w:rPr>
          <w:rFonts w:ascii="Times New Roman" w:cs="Times New Roman" w:eastAsia="Times New Roman" w:hAnsi="Times New Roman"/>
          <w:color w:val="000000"/>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color w:val="000000"/>
          <w:sz w:val="24"/>
          <w:szCs w:val="24"/>
        </w:rPr>
        <w:t xml:space="preserve">AI/AN by region</w:t>
      </w:r>
    </w:p>
    <w:p>
      <w:pPr>
        <w:spacing w:after="160" w:line="360"/>
      </w:pPr>
      <w:r>
        <w:rPr>
          <w:rFonts w:ascii="Times New Roman" w:cs="Times New Roman" w:eastAsia="Times New Roman" w:hAnsi="Times New Roman"/>
          <w:color w:val="000000"/>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color w:val="000000"/>
          <w:sz w:val="24"/>
          <w:szCs w:val="24"/>
        </w:rPr>
        <w:t xml:space="preserve">Middle Eastern populations</w:t>
      </w:r>
    </w:p>
    <w:p>
      <w:pPr>
        <w:spacing w:after="160" w:line="360"/>
      </w:pPr>
      <w:r>
        <w:rPr>
          <w:rFonts w:ascii="Times New Roman" w:cs="Times New Roman" w:eastAsia="Times New Roman" w:hAnsi="Times New Roman"/>
          <w:color w:val="000000"/>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color w:val="000000"/>
          <w:sz w:val="24"/>
          <w:szCs w:val="24"/>
        </w:rPr>
        <w:t xml:space="preserve">Molecular subtypes</w:t>
      </w:r>
    </w:p>
    <w:p>
      <w:pPr>
        <w:spacing w:after="160" w:line="360"/>
      </w:pPr>
      <w:r>
        <w:rPr>
          <w:rFonts w:ascii="Times New Roman" w:cs="Times New Roman" w:eastAsia="Times New Roman" w:hAnsi="Times New Roman"/>
          <w:color w:val="000000"/>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color w:val="000000"/>
          <w:sz w:val="24"/>
          <w:szCs w:val="24"/>
        </w:rPr>
        <w:t xml:space="preserve">Narrative synthesis</w:t>
      </w:r>
    </w:p>
    <w:p>
      <w:pPr>
        <w:spacing w:after="160" w:line="360"/>
      </w:pPr>
      <w:r>
        <w:rPr>
          <w:rFonts w:ascii="Times New Roman" w:cs="Times New Roman" w:eastAsia="Times New Roman" w:hAnsi="Times New Roman"/>
          <w:color w:val="000000"/>
          <w:sz w:val="24"/>
          <w:szCs w:val="24"/>
        </w:rPr>
        <w:t xml:space="preserve">The 118 narrative-synthesis studies met the inclusion criteria but contributed no extractable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color w:val="000000"/>
          <w:sz w:val="24"/>
          <w:szCs w:val="24"/>
        </w:rPr>
        <w:t xml:space="preserve">Molecular subtype and histology (28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(24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21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color w:val="000000"/>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color w:val="000000"/>
          <w:sz w:val="24"/>
          <w:szCs w:val="24"/>
        </w:rPr>
        <w:t xml:space="preserve">Risk of bias and sensitivity analyses</w:t>
      </w:r>
    </w:p>
    <w:p>
      <w:pPr>
        <w:spacing w:after="160" w:line="360"/>
      </w:pPr>
      <w:r>
        <w:rPr>
          <w:rFonts w:ascii="Times New Roman" w:cs="Times New Roman" w:eastAsia="Times New Roman" w:hAnsi="Times New Roman"/>
          <w:color w:val="000000"/>
          <w:sz w:val="24"/>
          <w:szCs w:val="24"/>
        </w:rPr>
        <w:t xml:space="preserve">On the JBI checklist, 41 of the 58 studies were at low risk of bias and 17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(Supplementary Table 6a); restricting to directly reported IRRs—which also excludes the two indirectly standardized SIRs—left 35 unchanged (4 changed, 46 dropped; Supplementary Table 6b); restricting to NHW-comparator estimates left 66 unchanged (1 changed, 18 dropped; Supplementary Table 6c), the 18 dropped cells being those whose only representative used an unstratified White comparator — 16 receptor-defined subtype cells and the two Black cells above and below age 40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w:t>
      </w:r>
    </w:p>
    <w:p>
      <w:pPr>
        <w:pStyle w:val="Heading1"/>
        <w:keepNext/>
        <w:spacing w:after="120" w:line="360"/>
      </w:pPr>
      <w:r>
        <w:rPr>
          <w:rFonts w:ascii="Times New Roman" w:cs="Times New Roman" w:eastAsia="Times New Roman" w:hAnsi="Times New Roman"/>
          <w:b/>
          <w:bCs/>
          <w:color w:val="000000"/>
          <w:sz w:val="28"/>
          <w:szCs w:val="28"/>
        </w:rPr>
        <w:t xml:space="preserve">Discussion</w:t>
      </w:r>
    </w:p>
    <w:p>
      <w:pPr>
        <w:spacing w:after="160" w:line="360"/>
      </w:pPr>
      <w:r>
        <w:rPr>
          <w:rFonts w:ascii="Times New Roman" w:cs="Times New Roman" w:eastAsia="Times New Roman" w:hAnsi="Times New Roman"/>
          <w:color w:val="000000"/>
          <w:sz w:val="24"/>
          <w:szCs w:val="24"/>
        </w:rPr>
        <w:t xml:space="preserve">This review assembled disaggregated, population-based estimates of invasive breast cancer incidence for U.S. racial and ethnic groups against a common NHW comparator (an unstratified White reference for 19 of the 85 cells, most of them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color w:val="000000"/>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(1.27)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This pattern is consistent with earlier disaggregated work and extends it: Gomez and colleagues first documented the variation among Asian American subgroups,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which the present estimates span over the most recent SEER period;</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the high burden in Native Hawaiian women echoes reports from Hawaii;</w:t>
      </w:r>
      <w:r>
        <w:rPr>
          <w:rFonts w:ascii="Times New Roman" w:cs="Times New Roman" w:eastAsia="Times New Roman" w:hAnsi="Times New Roman"/>
          <w:color w:val="000000"/>
          <w:sz w:val="24"/>
          <w:szCs w:val="24"/>
          <w:vertAlign w:val="superscript"/>
        </w:rPr>
        <w:t xml:space="preserve">24</w:t>
      </w:r>
      <w:r>
        <w:rPr>
          <w:rFonts w:ascii="Times New Roman" w:cs="Times New Roman" w:eastAsia="Times New Roman" w:hAnsi="Times New Roman"/>
          <w:color w:val="000000"/>
          <w:sz w:val="24"/>
          <w:szCs w:val="24"/>
        </w:rPr>
        <w:t xml:space="preserve"> the Hispanic gradient reproduces that described among first-generation U.S. Hispanics;</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the AI/AN regional range follows the pattern in earlier Indian Health Service–linked regional reports,</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and the low Navajo-area rate that in the Navajo Nation registry analysis;</w:t>
      </w:r>
      <w:r>
        <w:rPr>
          <w:rFonts w:ascii="Times New Roman" w:cs="Times New Roman" w:eastAsia="Times New Roman" w:hAnsi="Times New Roman"/>
          <w:color w:val="000000"/>
          <w:sz w:val="24"/>
          <w:szCs w:val="24"/>
          <w:vertAlign w:val="superscript"/>
        </w:rPr>
        <w:t xml:space="preserve">48</w:t>
      </w:r>
      <w:r>
        <w:rPr>
          <w:rFonts w:ascii="Times New Roman" w:cs="Times New Roman" w:eastAsia="Times New Roman" w:hAnsi="Times New Roman"/>
          <w:color w:val="000000"/>
          <w:sz w:val="24"/>
          <w:szCs w:val="24"/>
        </w:rPr>
        <w:t xml:space="preserve"> and the higher TNBC incidence in NHB women is concordant with prior subtype-specific work.</w:t>
      </w:r>
      <w:r>
        <w:rPr>
          <w:rFonts w:ascii="Times New Roman" w:cs="Times New Roman" w:eastAsia="Times New Roman" w:hAnsi="Times New Roman"/>
          <w:color w:val="000000"/>
          <w:sz w:val="24"/>
          <w:szCs w:val="24"/>
          <w:vertAlign w:val="superscript"/>
        </w:rPr>
        <w:t xml:space="preserve">2,23</w:t>
      </w:r>
      <w:r>
        <w:rPr>
          <w:rFonts w:ascii="Times New Roman" w:cs="Times New Roman" w:eastAsia="Times New Roman" w:hAnsi="Times New Roman"/>
          <w:color w:val="000000"/>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color w:val="000000"/>
          <w:sz w:val="24"/>
          <w:szCs w:val="24"/>
        </w:rPr>
        <w:t xml:space="preserve">For the subgroups whose incidence sits close to the NHW rate, which study represents the cell can change the direction of the small difference. Japanese women are the clearest example: the representative estimate, from a recent SEER source,</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color w:val="000000"/>
          <w:sz w:val="24"/>
          <w:szCs w:val="24"/>
          <w:vertAlign w:val="superscript"/>
        </w:rPr>
        <w:t xml:space="preserve">60</w:t>
      </w:r>
      <w:r>
        <w:rPr>
          <w:rFonts w:ascii="Times New Roman" w:cs="Times New Roman" w:eastAsia="Times New Roman" w:hAnsi="Times New Roman"/>
          <w:color w:val="000000"/>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color w:val="000000"/>
          <w:sz w:val="24"/>
          <w:szCs w:val="24"/>
        </w:rPr>
        <w:t xml:space="preserve">Two features of the underlying data shaped these estimates: how AI/AN cases were ascertained, and which White group each source compared against. Unlinked registries tend to undercount AI/AN cases, so the AI/AN estimates here draw on Indian Health Service–linked sources, which capture these cases more completely.</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The two national figures differ substantially—0.56 from an unlinked source and 0.87 from an IHS-linked one—but they come from separate studies, so the gap cannot be read as the effect of linkage alone. Three differences run together. The unlinked estimate covers 1999–2015 and the IHS-linked one 2010–2015, and the AI/AN ratio rose over that interval. The IHS-linked figure is confined to Purchased/Referred Care Delivery Area counties, and that restriction applies to the NHW comparison group as well, so its numerator and denominator both describe a different population from the national one. Those counties contain or adjoin federally recognized tribal lands and hold about 53% of the U.S. AI/AN population, with regional coverage from 16% in the East to all of Alaska,</w:t>
      </w:r>
      <w:r>
        <w:rPr>
          <w:rFonts w:ascii="Times New Roman" w:cs="Times New Roman" w:eastAsia="Times New Roman" w:hAnsi="Times New Roman"/>
          <w:color w:val="000000"/>
          <w:sz w:val="24"/>
          <w:szCs w:val="24"/>
          <w:vertAlign w:val="superscript"/>
        </w:rPr>
        <w:t xml:space="preserve">53</w:t>
      </w:r>
      <w:r>
        <w:rPr>
          <w:rFonts w:ascii="Times New Roman" w:cs="Times New Roman" w:eastAsia="Times New Roman" w:hAnsi="Times New Roman"/>
          <w:color w:val="000000"/>
          <w:sz w:val="24"/>
          <w:szCs w:val="24"/>
        </w:rPr>
        <w:t xml:space="preserve"> so the IHS-linked figures describe about half of this population rather than the whole of it, and the better-covered regions are those where AI/AN residents make up a larger share of the county population. Only the third difference—how AI/AN race was ascertained—is the linkage itself.</w:t>
      </w:r>
    </w:p>
    <w:p>
      <w:pPr>
        <w:spacing w:after="160" w:line="360"/>
      </w:pPr>
      <w:r>
        <w:rPr>
          <w:rFonts w:ascii="Times New Roman" w:cs="Times New Roman" w:eastAsia="Times New Roman" w:hAnsi="Times New Roman"/>
          <w:color w:val="000000"/>
          <w:sz w:val="24"/>
          <w:szCs w:val="24"/>
        </w:rPr>
        <w:t xml:space="preserve">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and Figure 2). The lower unlinked values therefore likely reflect incomplete case ascertainment, together with the wider diagnosis periods and the national rather than PRCDA coverage of those sources, rather than only lower underlying incidence; the AI/AN–NHW comparison therefore depends on the source's ascertainment as well as its diagnosis period and geographic scope.</w:t>
      </w:r>
      <w:r>
        <w:rPr>
          <w:rFonts w:ascii="Times New Roman" w:cs="Times New Roman" w:eastAsia="Times New Roman" w:hAnsi="Times New Roman"/>
          <w:color w:val="000000"/>
          <w:sz w:val="24"/>
          <w:szCs w:val="24"/>
          <w:vertAlign w:val="superscript"/>
        </w:rPr>
        <w:t xml:space="preserve">41,58</w:t>
      </w:r>
      <w:r>
        <w:rPr>
          <w:rFonts w:ascii="Times New Roman" w:cs="Times New Roman" w:eastAsia="Times New Roman" w:hAnsi="Times New Roman"/>
          <w:color w:val="000000"/>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w:t>
      </w:r>
    </w:p>
    <w:p>
      <w:pPr>
        <w:spacing w:after="160" w:line="360"/>
      </w:pPr>
      <w:r>
        <w:rPr>
          <w:rFonts w:ascii="Times New Roman" w:cs="Times New Roman" w:eastAsia="Times New Roman" w:hAnsi="Times New Roman"/>
          <w:color w:val="000000"/>
          <w:sz w:val="24"/>
          <w:szCs w:val="24"/>
        </w:rPr>
        <w:t xml:space="preserve">Reference groups also differed across sources—66 of the 85 representatives used an NHW comparator and 19 an unstratified White reference—so each comparator was recorded as its source defined it and a sensitivity analysis was restricted to NHW-comparator estimates; the unstratified-White cells, 16 of them receptor-defined subtypes, can shift a ratio slightly.</w:t>
      </w:r>
    </w:p>
    <w:p>
      <w:pPr>
        <w:spacing w:after="160" w:line="360"/>
      </w:pPr>
      <w:r>
        <w:rPr>
          <w:rFonts w:ascii="Times New Roman" w:cs="Times New Roman" w:eastAsia="Times New Roman" w:hAnsi="Times New Roman"/>
          <w:color w:val="000000"/>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for most of the cells each restriction could re-examine, but not uniformly. Cells that no estimate could fill under a restriction were dropped, and a dropped cell is untested under that restriction rather than confirmed by it—the directly-reported restriction alone leaves 46 of the 85 cells unexamined, because registries publish rates rather than ratios. Standard-population differences changed little. The low-risk-of-bias restriction moved the most cells (19 of the 73 it could re-examine), concentrated in the disaggregated AANHPI subgroups, the age-specific cells whose estimates sit near the NHW rate, as with the Japanese cell above, and the AI/AN cells. The AI/AN change is the largest, and it turns on how uncertainty was reported rather than on a difference in bias. The national aggregate's representative—the 2010–2015 IHS-linked estimate of 0.87—is rated moderate only because it prints no confidence interval, so the restriction replaces it with the 1999–2004 IHS-linked estimate of 0.63, which does print intervals. The gap between the two is the rise over time described above, not two sources disagreeing about one period. That substitution nonetheless moves AI/AN below Hispanic/Latina women, so the ordering of the aggregates is not preserved under that restriction, and neither the ordering nor a few near-null subgroup signs should be read as established.</w:t>
      </w:r>
    </w:p>
    <w:p>
      <w:pPr>
        <w:spacing w:after="160" w:line="360"/>
      </w:pPr>
      <w:r>
        <w:rPr>
          <w:rFonts w:ascii="Times New Roman" w:cs="Times New Roman" w:eastAsia="Times New Roman" w:hAnsi="Times New Roman"/>
          <w:color w:val="000000"/>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color w:val="000000"/>
          <w:sz w:val="24"/>
          <w:szCs w:val="24"/>
          <w:vertAlign w:val="superscript"/>
        </w:rPr>
        <w:t xml:space="preserve">5,9</w:t>
      </w:r>
      <w:r>
        <w:rPr>
          <w:rFonts w:ascii="Times New Roman" w:cs="Times New Roman" w:eastAsia="Times New Roman" w:hAnsi="Times New Roman"/>
          <w:color w:val="000000"/>
          <w:sz w:val="24"/>
          <w:szCs w:val="24"/>
        </w:rPr>
        <w:t xml:space="preserve"> and differences in molecular-subtype distribution and in screening and access to care have also been described.</w:t>
      </w:r>
      <w:r>
        <w:rPr>
          <w:rFonts w:ascii="Times New Roman" w:cs="Times New Roman" w:eastAsia="Times New Roman" w:hAnsi="Times New Roman"/>
          <w:color w:val="000000"/>
          <w:sz w:val="24"/>
          <w:szCs w:val="24"/>
          <w:vertAlign w:val="superscript"/>
        </w:rPr>
        <w:t xml:space="preserve">2,34</w:t>
      </w:r>
      <w:r>
        <w:rPr>
          <w:rFonts w:ascii="Times New Roman" w:cs="Times New Roman" w:eastAsia="Times New Roman" w:hAnsi="Times New Roman"/>
          <w:color w:val="000000"/>
          <w:sz w:val="24"/>
          <w:szCs w:val="24"/>
        </w:rPr>
        <w:t xml:space="preserve"> Genetic or biological mechanisms were not examined.</w:t>
      </w:r>
    </w:p>
    <w:p>
      <w:pPr>
        <w:spacing w:after="160" w:line="360"/>
      </w:pPr>
      <w:r>
        <w:rPr>
          <w:rFonts w:ascii="Times New Roman" w:cs="Times New Roman" w:eastAsia="Times New Roman" w:hAnsi="Times New Roman"/>
          <w:color w:val="000000"/>
          <w:sz w:val="24"/>
          <w:szCs w:val="24"/>
        </w:rPr>
        <w:t xml:space="preserve">The review has limitations. About three fifths of the representative rate ratios (50 of 85) were computed from published age-standardized rates rather than reported directly, which can move a ratio slightly. Expressing each group's incidence as a ratio to the NHW rate does not by itself make the estimates commensurable. Within a cell the numerator and denominator share one standard population, period, and region, so the ratio is internally consistent; the ratio does not, however, cancel the standard population, because the age-specific rates of two groups differ in shape and another set of standard weights would move their standardized rates—and so their ratio—by different amounts. Across cells, differences in standard population, underlying age structure, registry region, and diagnosis period therefore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studies missed by this single-reviewer screening, the excluded records were re-screened at the full abstract with an explicit keyword filter, leaving the residual risk of a missed study confined to reports whose abstracts omit two or more of the screening signals.</w:t>
      </w:r>
    </w:p>
    <w:p>
      <w:pPr>
        <w:spacing w:after="160" w:line="360"/>
      </w:pPr>
      <w:r>
        <w:rPr>
          <w:rFonts w:ascii="Times New Roman" w:cs="Times New Roman" w:eastAsia="Times New Roman" w:hAnsi="Times New Roman"/>
          <w:color w:val="000000"/>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and their aggregates can be seen together in one place. Second, by collapsing overlapping registry-family estimates while retaining the overlaps for the sensitivity analysis, it separates the cells that more than one study could fill (38 of the 85 analytic cells, and in 27 of those the studies come from at least two different registry families) from those resting on a single study (47). These sources are not fully independent—US registries are nested, so publications from different families can still draw on overlapping cases—but where more than one is available they agree in most cells, diverging chiefly in the near-null AANHPI subgroups and the ascertainment-dependent AI/AN comparison.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recorded—marked in the main-text table and figures (computed CI ‡; unstratified White †) and named in full in Supplementary Table 4—so readers can weigh them.</w:t>
      </w:r>
    </w:p>
    <w:p>
      <w:pPr>
        <w:spacing w:after="160" w:line="360"/>
      </w:pPr>
      <w:r>
        <w:rPr>
          <w:rFonts w:ascii="Times New Roman" w:cs="Times New Roman" w:eastAsia="Times New Roman" w:hAnsi="Times New Roman"/>
          <w:color w:val="000000"/>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color w:val="000000"/>
          <w:sz w:val="28"/>
          <w:szCs w:val="28"/>
        </w:rPr>
        <w:t xml:space="preserve">References</w:t>
      </w:r>
    </w:p>
    <w:p>
      <w:pPr>
        <w:spacing w:after="60" w:line="300"/>
      </w:pPr>
      <w:r>
        <w:rPr>
          <w:rFonts w:ascii="Times New Roman" w:cs="Times New Roman" w:eastAsia="Times New Roman" w:hAnsi="Times New Roman"/>
          <w:color w:val="000000"/>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color w:val="000000"/>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color w:val="000000"/>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color w:val="000000"/>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color w:val="000000"/>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color w:val="000000"/>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color w:val="000000"/>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color w:val="000000"/>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color w:val="000000"/>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color w:val="000000"/>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color w:val="000000"/>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color w:val="000000"/>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color w:val="000000"/>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color w:val="000000"/>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color w:val="000000"/>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color w:val="000000"/>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color w:val="000000"/>
          <w:sz w:val="24"/>
          <w:szCs w:val="24"/>
        </w:rPr>
        <w:t xml:space="preserve">17. Lee Argov EJ, Lui ML, Karr AG, Tehranifar P, Kehm RD. Breast Cancer Incidence Trends in Older US Women by Race, Ethnicity, Geography, and Stage. JAMA Netw Open. 2025;8(6):e2516947. doi:10.1001/jamanetworkopen.2025.16947.</w:t>
      </w:r>
    </w:p>
    <w:p>
      <w:pPr>
        <w:spacing w:after="60" w:line="300"/>
      </w:pPr>
      <w:r>
        <w:rPr>
          <w:rFonts w:ascii="Times New Roman" w:cs="Times New Roman" w:eastAsia="Times New Roman" w:hAnsi="Times New Roman"/>
          <w:color w:val="000000"/>
          <w:sz w:val="24"/>
          <w:szCs w:val="24"/>
        </w:rPr>
        <w:t xml:space="preserve">18. Zahnd WE, Sherman RL, Klonoff-Cohen H, McLafferty SL, Farner S, Rosenblatt KA. Disparities in breast cancer subtypes among women in the lower Mississippi Delta Region states. Cancer Causes Control. 2019;30(6):591-601. doi:10.1007/s10552-019-01168-0.</w:t>
      </w:r>
    </w:p>
    <w:p>
      <w:pPr>
        <w:spacing w:after="60" w:line="300"/>
      </w:pPr>
      <w:r>
        <w:rPr>
          <w:rFonts w:ascii="Times New Roman" w:cs="Times New Roman" w:eastAsia="Times New Roman" w:hAnsi="Times New Roman"/>
          <w:color w:val="000000"/>
          <w:sz w:val="24"/>
          <w:szCs w:val="24"/>
        </w:rPr>
        <w:t xml:space="preserve">19. Liu L, Zhang J, Wu AH, Pike MC, Deapen D. Invasive breast cancer incidence trends by detailed race/ethnicity and age. Int J Cancer. 2011;130(2):395-404. doi:10.1002/ijc.26004.</w:t>
      </w:r>
    </w:p>
    <w:p>
      <w:pPr>
        <w:spacing w:after="60" w:line="300"/>
      </w:pPr>
      <w:r>
        <w:rPr>
          <w:rFonts w:ascii="Times New Roman" w:cs="Times New Roman" w:eastAsia="Times New Roman" w:hAnsi="Times New Roman"/>
          <w:color w:val="000000"/>
          <w:sz w:val="24"/>
          <w:szCs w:val="24"/>
        </w:rPr>
        <w:t xml:space="preserve">20.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color w:val="000000"/>
          <w:sz w:val="24"/>
          <w:szCs w:val="24"/>
        </w:rPr>
        <w:t xml:space="preserve">21. Wingo PA, King J, Swan J, Coughlin SS, Kaur JS, Erb-Alvarez JA, et al. Breast cancer incidence among American Indian and Alaska Native women: US, 1999-2004. Cancer. 2008;113(5 Suppl):1191-202. doi:10.1002/cncr.23725.</w:t>
      </w:r>
    </w:p>
    <w:p>
      <w:pPr>
        <w:spacing w:after="60" w:line="300"/>
      </w:pPr>
      <w:r>
        <w:rPr>
          <w:rFonts w:ascii="Times New Roman" w:cs="Times New Roman" w:eastAsia="Times New Roman" w:hAnsi="Times New Roman"/>
          <w:color w:val="000000"/>
          <w:sz w:val="24"/>
          <w:szCs w:val="24"/>
        </w:rPr>
        <w:t xml:space="preserve">22.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color w:val="000000"/>
          <w:sz w:val="24"/>
          <w:szCs w:val="24"/>
        </w:rPr>
        <w:t xml:space="preserve">23.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color w:val="000000"/>
          <w:sz w:val="24"/>
          <w:szCs w:val="24"/>
        </w:rPr>
        <w:t xml:space="preserve">24. Loo LWM, Williams M, Hernandez BY. The high and heterogeneous burden of breast cancer in Hawaii: A unique multiethnic U.S. Population. Cancer Epidemiol. 2018;58:71-76. doi:10.1016/j.canep.2018.11.006.</w:t>
      </w:r>
    </w:p>
    <w:p>
      <w:pPr>
        <w:spacing w:after="60" w:line="300"/>
      </w:pPr>
      <w:r>
        <w:rPr>
          <w:rFonts w:ascii="Times New Roman" w:cs="Times New Roman" w:eastAsia="Times New Roman" w:hAnsi="Times New Roman"/>
          <w:color w:val="000000"/>
          <w:sz w:val="24"/>
          <w:szCs w:val="24"/>
        </w:rPr>
        <w:t xml:space="preserve">25.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color w:val="000000"/>
          <w:sz w:val="24"/>
          <w:szCs w:val="24"/>
        </w:rPr>
        <w:t xml:space="preserve">26. Vital signs: racial disparities in breast cancer severity--United States, 2005-2009. MMWR Morb Mortal Wkly Rep. 2012;61(45):922-6.</w:t>
      </w:r>
    </w:p>
    <w:p>
      <w:pPr>
        <w:spacing w:after="60" w:line="300"/>
      </w:pPr>
      <w:r>
        <w:rPr>
          <w:rFonts w:ascii="Times New Roman" w:cs="Times New Roman" w:eastAsia="Times New Roman" w:hAnsi="Times New Roman"/>
          <w:color w:val="000000"/>
          <w:sz w:val="24"/>
          <w:szCs w:val="24"/>
        </w:rPr>
        <w:t xml:space="preserve">27.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color w:val="000000"/>
          <w:sz w:val="24"/>
          <w:szCs w:val="24"/>
        </w:rPr>
        <w:t xml:space="preserve">28.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color w:val="000000"/>
          <w:sz w:val="24"/>
          <w:szCs w:val="24"/>
        </w:rPr>
        <w:t xml:space="preserve">29.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color w:val="000000"/>
          <w:sz w:val="24"/>
          <w:szCs w:val="24"/>
        </w:rPr>
        <w:t xml:space="preserve">30. Du XL, Song L. Breast cancer incidence trends in Asian women aged 20 or older as compared to other ethnic women in the United States from 2000 to 2018 by time period, age and tumor stage. Cancer Epidemiol. 2021;76:102076. doi:10.1016/j.canep.2021.102076.</w:t>
      </w:r>
    </w:p>
    <w:p>
      <w:pPr>
        <w:spacing w:after="60" w:line="300"/>
      </w:pPr>
      <w:r>
        <w:rPr>
          <w:rFonts w:ascii="Times New Roman" w:cs="Times New Roman" w:eastAsia="Times New Roman" w:hAnsi="Times New Roman"/>
          <w:color w:val="000000"/>
          <w:sz w:val="24"/>
          <w:szCs w:val="24"/>
        </w:rPr>
        <w:t xml:space="preserve">31.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color w:val="000000"/>
          <w:sz w:val="24"/>
          <w:szCs w:val="24"/>
        </w:rPr>
        <w:t xml:space="preserve">32. Moore SP, Antoni S, Colquhoun A, Healy B, Ellison-Loschmann L, Potter JD, et al. Cancer incidence in indigenous people in Australia, New Zealand, Canada, and the USA: a comparative population-based study. Lancet Oncol. 2015;16(15):1483-1492. doi:10.1016/S1470-2045(15)00232-6.</w:t>
      </w:r>
    </w:p>
    <w:p>
      <w:pPr>
        <w:spacing w:after="60" w:line="300"/>
      </w:pPr>
      <w:r>
        <w:rPr>
          <w:rFonts w:ascii="Times New Roman" w:cs="Times New Roman" w:eastAsia="Times New Roman" w:hAnsi="Times New Roman"/>
          <w:color w:val="000000"/>
          <w:sz w:val="24"/>
          <w:szCs w:val="24"/>
        </w:rPr>
        <w:t xml:space="preserve">33.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color w:val="000000"/>
          <w:sz w:val="24"/>
          <w:szCs w:val="24"/>
        </w:rPr>
        <w:t xml:space="preserve">34.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color w:val="000000"/>
          <w:sz w:val="24"/>
          <w:szCs w:val="24"/>
        </w:rPr>
        <w:t xml:space="preserve">35.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color w:val="000000"/>
          <w:sz w:val="24"/>
          <w:szCs w:val="24"/>
        </w:rPr>
        <w:t xml:space="preserve">36.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color w:val="000000"/>
          <w:sz w:val="24"/>
          <w:szCs w:val="24"/>
        </w:rPr>
        <w:t xml:space="preserve">37. Shoemaker ML, White MC, Wu M, Weir HK, Romieu I. Differences in breast cancer incidence among young women aged 20-49 years by stage and tumor characteristics, age, race, and ethnicity, 2004-2013. Breast Cancer Res Treat. 2018;169(3):595-606. doi:10.1007/s10549-018-4699-9.</w:t>
      </w:r>
    </w:p>
    <w:p>
      <w:pPr>
        <w:spacing w:after="60" w:line="300"/>
      </w:pPr>
      <w:r>
        <w:rPr>
          <w:rFonts w:ascii="Times New Roman" w:cs="Times New Roman" w:eastAsia="Times New Roman" w:hAnsi="Times New Roman"/>
          <w:color w:val="000000"/>
          <w:sz w:val="24"/>
          <w:szCs w:val="24"/>
        </w:rPr>
        <w:t xml:space="preserve">38.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color w:val="000000"/>
          <w:sz w:val="24"/>
          <w:szCs w:val="24"/>
        </w:rPr>
        <w:t xml:space="preserve">39. Amirikia KC, Mills P, Bush J, Newman LA. Higher population-based incidence rates of triple-negative breast cancer among young African-American women : Implications for breast cancer screening recommendations. Cancer. 2011;117(12):2747-53. doi:10.1002/cncr.25862.</w:t>
      </w:r>
    </w:p>
    <w:p>
      <w:pPr>
        <w:spacing w:after="60" w:line="300"/>
      </w:pPr>
      <w:r>
        <w:rPr>
          <w:rFonts w:ascii="Times New Roman" w:cs="Times New Roman" w:eastAsia="Times New Roman" w:hAnsi="Times New Roman"/>
          <w:color w:val="000000"/>
          <w:sz w:val="24"/>
          <w:szCs w:val="24"/>
        </w:rPr>
        <w:t xml:space="preserve">40. Eheman CR, Shaw KM, Ryerson AB, Miller JW, Ajani UA, White MC. The changing incidence of in situ and invasive ductal and lobular breast carcinomas: United States, 1999-2004. Cancer Epidemiol Biomarkers Prev. 2009;18(6):1763-9. doi:10.1158/1055-9965.EPI-08-1082.</w:t>
      </w:r>
    </w:p>
    <w:p>
      <w:pPr>
        <w:spacing w:after="60" w:line="300"/>
      </w:pPr>
      <w:r>
        <w:rPr>
          <w:rFonts w:ascii="Times New Roman" w:cs="Times New Roman" w:eastAsia="Times New Roman" w:hAnsi="Times New Roman"/>
          <w:color w:val="000000"/>
          <w:sz w:val="24"/>
          <w:szCs w:val="24"/>
        </w:rPr>
        <w:t xml:space="preserve">41. Watanabe-Galloway S, Watkins K, Duran T. Trends and Patterns of Late and Unstaged Lung, Colorectal, Female Breast, and Prostate Cancers among American Indians in the Northern Plains, 2002-2009. J Health Care Poor Underserved. 2015;26(3):1048-66. doi:10.1353/hpu.2015.0089.</w:t>
      </w:r>
    </w:p>
    <w:p>
      <w:pPr>
        <w:spacing w:after="60" w:line="300"/>
      </w:pPr>
      <w:r>
        <w:rPr>
          <w:rFonts w:ascii="Times New Roman" w:cs="Times New Roman" w:eastAsia="Times New Roman" w:hAnsi="Times New Roman"/>
          <w:color w:val="000000"/>
          <w:sz w:val="24"/>
          <w:szCs w:val="24"/>
        </w:rPr>
        <w:t xml:space="preserve">42.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color w:val="000000"/>
          <w:sz w:val="24"/>
          <w:szCs w:val="24"/>
        </w:rPr>
        <w:t xml:space="preserve">43. Liu Z, Zhang Y, Franzin L, Cormier JN, Chan W, Xu H, et al. Trends and variations in breast and colorectal cancer incidence from 1995 to 2011: a comparative study between Texas Cancer Registry and National Cancer Institute's Surveillance, Epidemiology and End Results data. Int J Oncol. 2015;46(4):1819-26. doi:10.3892/ijo.2015.2881.</w:t>
      </w:r>
    </w:p>
    <w:p>
      <w:pPr>
        <w:spacing w:after="60" w:line="300"/>
      </w:pPr>
      <w:r>
        <w:rPr>
          <w:rFonts w:ascii="Times New Roman" w:cs="Times New Roman" w:eastAsia="Times New Roman" w:hAnsi="Times New Roman"/>
          <w:color w:val="000000"/>
          <w:sz w:val="24"/>
          <w:szCs w:val="24"/>
        </w:rPr>
        <w:t xml:space="preserve">44.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color w:val="000000"/>
          <w:sz w:val="24"/>
          <w:szCs w:val="24"/>
        </w:rPr>
        <w:t xml:space="preserve">45. Ihenacho U, McKinley MA, Vu A, Hernandez BY, Loo LWM, Gomez SL, et al. Characterizing breast cancer incidence and trends among Asian American, Native Hawaiian, and non-Hispanic White women in Hawai'i, 1990-2014. Cancer Causes Control. 2022;34(3):241-249. doi:10.1007/s10552-022-01659-7.</w:t>
      </w:r>
    </w:p>
    <w:p>
      <w:pPr>
        <w:spacing w:after="60" w:line="300"/>
      </w:pPr>
      <w:r>
        <w:rPr>
          <w:rFonts w:ascii="Times New Roman" w:cs="Times New Roman" w:eastAsia="Times New Roman" w:hAnsi="Times New Roman"/>
          <w:color w:val="000000"/>
          <w:sz w:val="24"/>
          <w:szCs w:val="24"/>
        </w:rPr>
        <w:t xml:space="preserve">46.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color w:val="000000"/>
          <w:sz w:val="24"/>
          <w:szCs w:val="24"/>
        </w:rPr>
        <w:t xml:space="preserve">47. Goggins WB, Wong G. Cancer among Asian Indians/Pakistanis living in the United States: low incidence and generally above average survival. Cancer Causes Control. 2008;20(5):635-43. doi:10.1007/s10552-008-9275-x.</w:t>
      </w:r>
    </w:p>
    <w:p>
      <w:pPr>
        <w:spacing w:after="60" w:line="300"/>
      </w:pPr>
      <w:r>
        <w:rPr>
          <w:rFonts w:ascii="Times New Roman" w:cs="Times New Roman" w:eastAsia="Times New Roman" w:hAnsi="Times New Roman"/>
          <w:color w:val="000000"/>
          <w:sz w:val="24"/>
          <w:szCs w:val="24"/>
        </w:rPr>
        <w:t xml:space="preserve">48.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color w:val="000000"/>
          <w:sz w:val="24"/>
          <w:szCs w:val="24"/>
        </w:rPr>
        <w:t xml:space="preserve">49.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color w:val="000000"/>
          <w:sz w:val="24"/>
          <w:szCs w:val="24"/>
        </w:rPr>
        <w:t xml:space="preserve">50.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color w:val="000000"/>
          <w:sz w:val="24"/>
          <w:szCs w:val="24"/>
        </w:rPr>
        <w:t xml:space="preserve">51. Wright E, Waterman PD, Testa C, Chen JT, Krieger N. Breast Cancer Incidence, Hormone Receptor Status, Historical Redlining, and Current Neighborhood Characteristics in Massachusetts, 2005-2015. JNCI Cancer Spectr. 2022;6(2). doi:10.1093/jncics/pkac016.</w:t>
      </w:r>
    </w:p>
    <w:p>
      <w:pPr>
        <w:spacing w:after="60" w:line="300"/>
      </w:pPr>
      <w:r>
        <w:rPr>
          <w:rFonts w:ascii="Times New Roman" w:cs="Times New Roman" w:eastAsia="Times New Roman" w:hAnsi="Times New Roman"/>
          <w:color w:val="000000"/>
          <w:sz w:val="24"/>
          <w:szCs w:val="24"/>
        </w:rPr>
        <w:t xml:space="preserve">52. Sung H, DeSantis C, Jemal A. Subtype-Specific Breast Cancer Incidence Rates in Black versus White Men in the United States. JNCI Cancer Spectr. 2019;4(1):pkz091. doi:10.1093/jncics/pkz091.</w:t>
      </w:r>
    </w:p>
    <w:p>
      <w:pPr>
        <w:spacing w:after="60" w:line="300"/>
      </w:pPr>
      <w:r>
        <w:rPr>
          <w:rFonts w:ascii="Times New Roman" w:cs="Times New Roman" w:eastAsia="Times New Roman" w:hAnsi="Times New Roman"/>
          <w:color w:val="000000"/>
          <w:sz w:val="24"/>
          <w:szCs w:val="24"/>
        </w:rPr>
        <w:t xml:space="preserve">53.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color w:val="000000"/>
          <w:sz w:val="24"/>
          <w:szCs w:val="24"/>
        </w:rPr>
        <w:t xml:space="preserve">54. Krieger N, Feldman JM, Kim R, Waterman PD. Cancer Incidence and Multilevel Measures of Residential Economic and Racial Segregation for Cancer Registries. JNCI Cancer Spectr. 2018;2(1):pky009. doi:10.1093/jncics/pky009.</w:t>
      </w:r>
    </w:p>
    <w:p>
      <w:pPr>
        <w:spacing w:after="60" w:line="300"/>
      </w:pPr>
      <w:r>
        <w:rPr>
          <w:rFonts w:ascii="Times New Roman" w:cs="Times New Roman" w:eastAsia="Times New Roman" w:hAnsi="Times New Roman"/>
          <w:color w:val="000000"/>
          <w:sz w:val="24"/>
          <w:szCs w:val="24"/>
        </w:rPr>
        <w:t xml:space="preserve">55. Kem R, Chu KC. Cambodian cancer incidence rates in California and Washington, 1998-2002. Cancer. 2007;110(6):1370-5. doi:10.1002/cncr.22914.</w:t>
      </w:r>
    </w:p>
    <w:p>
      <w:pPr>
        <w:spacing w:after="60" w:line="300"/>
      </w:pPr>
      <w:r>
        <w:rPr>
          <w:rFonts w:ascii="Times New Roman" w:cs="Times New Roman" w:eastAsia="Times New Roman" w:hAnsi="Times New Roman"/>
          <w:color w:val="000000"/>
          <w:sz w:val="24"/>
          <w:szCs w:val="24"/>
        </w:rPr>
        <w:t xml:space="preserve">56.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color w:val="000000"/>
          <w:sz w:val="24"/>
          <w:szCs w:val="24"/>
        </w:rPr>
        <w:t xml:space="preserve">57.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color w:val="000000"/>
          <w:sz w:val="24"/>
          <w:szCs w:val="24"/>
        </w:rPr>
        <w:t xml:space="preserve">58.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color w:val="000000"/>
          <w:sz w:val="24"/>
          <w:szCs w:val="24"/>
        </w:rPr>
        <w:t xml:space="preserve">59. Hossain F, Danos D, Prakash O, Gilliland A, Ferguson TF, Simonsen N, et al. Neighborhood Social Determinants of Triple Negative Breast Cancer. Front Public Health. 2019;7:18. doi:10.3389/fpubh.2019.00018.</w:t>
      </w:r>
    </w:p>
    <w:p>
      <w:pPr>
        <w:spacing w:after="60" w:line="300"/>
      </w:pPr>
      <w:r>
        <w:rPr>
          <w:rFonts w:ascii="Times New Roman" w:cs="Times New Roman" w:eastAsia="Times New Roman" w:hAnsi="Times New Roman"/>
          <w:color w:val="000000"/>
          <w:sz w:val="24"/>
          <w:szCs w:val="24"/>
        </w:rPr>
        <w:t xml:space="preserve">60.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color w:val="000000"/>
          <w:sz w:val="24"/>
          <w:szCs w:val="24"/>
        </w:rPr>
        <w:t xml:space="preserve">61. Miller BA, Chu KC, Hankey BF, Ries LA. Cancer incidence and mortality patterns among specific Asian and Pacific Islander populations in the U.S. Cancer Causes Control. 2007;19(3):227-56. doi:10.1007/s10552-007-9088-3.</w:t>
      </w:r>
    </w:p>
    <w:p>
      <w:pPr>
        <w:spacing w:after="60" w:line="300"/>
      </w:pPr>
      <w:r>
        <w:rPr>
          <w:rFonts w:ascii="Times New Roman" w:cs="Times New Roman" w:eastAsia="Times New Roman" w:hAnsi="Times New Roman"/>
          <w:color w:val="000000"/>
          <w:sz w:val="24"/>
          <w:szCs w:val="24"/>
        </w:rPr>
        <w:t xml:space="preserve">62. McCracken M, Olsen M, Chen MS,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color w:val="000000"/>
          <w:sz w:val="24"/>
          <w:szCs w:val="24"/>
        </w:rPr>
        <w:t xml:space="preserve">63. Wilkinson JD, Wohler-Torres B, Trapido E, Fleming LE, MacKinnon J, Peace S. Cancer among Hispanic women in South Florida: an 18-year assessment: a report from the Florida Cancer Data System. Cancer. 2002;95(8):1752-8. doi:10.1002/cncr.10834.</w:t>
      </w:r>
    </w:p>
    <w:p>
      <w:pPr>
        <w:spacing w:after="60" w:line="300"/>
      </w:pPr>
      <w:r>
        <w:rPr>
          <w:rFonts w:ascii="Times New Roman" w:cs="Times New Roman" w:eastAsia="Times New Roman" w:hAnsi="Times New Roman"/>
          <w:color w:val="000000"/>
          <w:sz w:val="24"/>
          <w:szCs w:val="24"/>
        </w:rPr>
        <w:t xml:space="preserve">64. National Cancer Institute. SEER*Explorer: an interactive website for SEER cancer statistics. Surveillance Research Program, National Cancer Institute. Accessed 2026. https://seer.cancer.gov/statistics-network/explorer/</w:t>
      </w:r>
    </w:p>
    <w:p>
      <w:pPr>
        <w:sectPr>
          <w:pgSz w:w="12240" w:h="15840"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Tables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586"/>
        <w:gridCol w:w="3310"/>
        <w:gridCol w:w="3090"/>
        <w:gridCol w:w="2648"/>
        <w:gridCol w:w="1766"/>
      </w:tblGrid>
      <w:tr>
        <w:trPr>
          <w:tblHeader/>
        </w:trPr>
        <w:tc>
          <w:tcPr>
            <w:tcW w:type="dxa" w:w="358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310"/>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3090"/>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648"/>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766"/>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2005[6] (1988-2000)</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2007[55] (1998-2002)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2025[48] (2014-2018)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2019[11] (2009-2014)</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2021[58] (2012-2016)</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2009[46] (1988-2004)</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2017[35] (2009-2013)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This table shows 38 of the 85 analytic cells, those covering the principal comparisons; the rest, chiefly the other receptor-defined subtypes and the age-specific comparisons, are in Supplementary Table 4. Each cell shows one representative population-based estimate — the most recent, broadest-coverage registry estimate per analytic cell — not a pooled estimate; the selection rule and its robustness are given in the Methods and Supplementary Table 6. Each representative study is followed by its number in the reference list. The effect measure is the incidence rate ratio (IRR) throughout; comparisons are versus non-Hispanic White (NHW) women. † the study's reference was an unstratified White group (not stratified by Hispanic origin), examined in the NHW-comparator sensitivity analysis (Supplementary Table 6c); 5 of the 19 cells so marked appear in this table.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r>
        <w:br w:type="page"/>
      </w:r>
    </w:p>
    <w:p>
      <w:pPr>
        <w:sectPr>
          <w:pgSz w:w="15840" w:h="12240" w:orient="landscape"/>
          <w:pgMar w:top="1080" w:right="1080" w:bottom="1080" w:left="108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Figures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038850" cy="631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38850" cy="6315075"/>
                    </a:xfrm>
                    <a:prstGeom prst="rect">
                      <a:avLst/>
                    </a:prstGeom>
                  </pic:spPr>
                </pic:pic>
              </a:graphicData>
            </a:graphic>
          </wp:inline>
        </w:drawing>
      </w:r>
    </w:p>
    <w:p>
      <w:r>
        <w:br w:type="page"/>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5353050"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53050" cy="6858000"/>
                    </a:xfrm>
                    <a:prstGeom prst="rect">
                      <a:avLst/>
                    </a:prstGeom>
                  </pic:spPr>
                </pic:pic>
              </a:graphicData>
            </a:graphic>
          </wp:inline>
        </w:drawing>
      </w:r>
    </w:p>
    <w:p>
      <w:pPr>
        <w:spacing w:after="120" w:line="260"/>
      </w:pPr>
      <w:r>
        <w:rPr>
          <w:rFonts w:ascii="Malgun Gothic" w:cs="Malgun Gothic" w:eastAsia="Malgun Gothic" w:hAnsi="Malgun Gothic"/>
          <w:i/>
          <w:iCs/>
          <w:sz w:val="16"/>
          <w:szCs w:val="16"/>
        </w:rPr>
        <w:t xml:space="preserve">Note. Each point is the representative estimate for one analytic cell, drawn from a separate study; an aggregate and its subgroups differ in registry, region, diagnosis period, and standard population. Diamonds mark aggregate groups, circles subgroups. A solid bar is a 95% CI reported in the source; a dashed bar marked ‡ is one computed for this review; a point without a bar had no interval in its source. † reference was an unstratified White group, not NHW. Values match Table 1.</w:t>
      </w:r>
    </w:p>
    <w:p>
      <w:r>
        <w:br w:type="page"/>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60388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8850" cy="3409950"/>
                    </a:xfrm>
                    <a:prstGeom prst="rect">
                      <a:avLst/>
                    </a:prstGeom>
                  </pic:spPr>
                </pic:pic>
              </a:graphicData>
            </a:graphic>
          </wp:inline>
        </w:drawing>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844b72922f9485eeea49c44f787cbcd5e714932.png"/><Relationship Id="rId8" Type="http://schemas.openxmlformats.org/officeDocument/2006/relationships/image" Target="media/dae87b3c7f6f13da2ab6e36de81e09997ee0418a.png"/><Relationship Id="rId9" Type="http://schemas.openxmlformats.org/officeDocument/2006/relationships/image" Target="media/22b4b37654dea15c714d94268b774c4d08359a9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2026-09-23T10:36:35.033Z</dcterms:created>
  <dcterms:modified xsi:type="dcterms:W3CDTF">2026-09-23T10:36:35.033Z</dcterms:modified>
</cp:coreProperties>
</file>

<file path=docProps/custom.xml><?xml version="1.0" encoding="utf-8"?>
<Properties xmlns="http://schemas.openxmlformats.org/officeDocument/2006/custom-properties" xmlns:vt="http://schemas.openxmlformats.org/officeDocument/2006/docPropsVTypes"/>
</file>