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non-Hispanic White (NHW) comparison formed the quantitative synthesis and the rest the narrative synthesis. Because these registries overlap, one representative estimate per group and dimension was selected, not pooled. Each estimate was an incidence rate ratio (IRR) versus an NHW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used only in the sensitivity analysis,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—23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56 of 74 cell representatives unchanged, with the 8 changed and 10 dropped cells concentrated in the disaggregated AANHPI subgroups; restricting to directly reported estimates left 35 unchanged (6 changed, 33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gave way to the external-NHW sensitivity estimate.</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In the Northern Plains, for example, unlinked state registries placed AI/AN breast incidence at a rate ratio of 0.90 relative to NHW women, whereas the IHS-linked estimate for the same region placed it at 1.33—the comparison reversing direction with case ascertainment.</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2026-09-05T10:47:08.353Z</dcterms:created>
  <dcterms:modified xsi:type="dcterms:W3CDTF">2026-09-05T10:47:08.354Z</dcterms:modified>
</cp:coreProperties>
</file>

<file path=docProps/custom.xml><?xml version="1.0" encoding="utf-8"?>
<Properties xmlns="http://schemas.openxmlformats.org/officeDocument/2006/custom-properties" xmlns:vt="http://schemas.openxmlformats.org/officeDocument/2006/docPropsVTypes"/>
</file>