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162)</w:t>
      </w:r>
    </w:p>
    <w:p>
      <w:pPr>
        <w:spacing w:after="80"/>
      </w:pPr>
      <w:r>
        <w:rPr>
          <w:rFonts w:ascii="Malgun Gothic" w:cs="Malgun Gothic" w:eastAsia="Malgun Gothic" w:hAnsi="Malgun Gothic"/>
          <w:i/>
          <w:iCs/>
          <w:sz w:val="18"/>
          <w:szCs w:val="18"/>
        </w:rPr>
        <w:t xml:space="preserve">The 162 studies are all publications included in the systematic review; not all entered the quantitative synthesis. They are grouped below by how each contributed: 48 were eligible for quantitative synthesis and all provided extractable quantitative data that entered the analysis, and the remaining 114 contributed to the narrative synthesis only (162 = 48 + 114). Study design is classified from the data source; most included studies are population-based registry/incidence studies rather than cohort studies. A PMID (or DOI where no PMID exists) is given for every study so that each of the 162 included studies—including the 114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 “no (external comparator)” = an estimate that borrows an out-of-paper reference (a SEER-Explorer non-Hispanic White rate), retained only in the sensitivity analysis; “no (no usable IRR)” = the source named the subgroup but reported no rate or ratio from which an IRR could be formed.</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The checklist was applied to each study by the author (a single assessor) with large-language-model assistance.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48 studies assessed, 39 were Low, 9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56 of 74 cells unchanged, 8 changed, 10 dropped. The changed and dropped cells were concentrated in the disaggregated AANHPI subgroups (with a few age-specific and Middle Eastern cells), whose representatives are computed estimates from moderate-risk-of-bias sources; the aggregate and regional AI/AN representatives are unchanged because the IHS-linked estimates preferred in the main analysis are themselves low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6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56 of 74 cells unchanged, 1 changed, 17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two age-specific Black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AANHPI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Carozza 2006, Gomez 2003, Miller 2008.</w:t>
      </w:r>
    </w:p>
    <w:p>
      <w:pPr>
        <w:spacing w:after="80"/>
      </w:pPr>
      <w:r>
        <w:rPr>
          <w:rFonts w:ascii="Malgun Gothic" w:cs="Malgun Gothic" w:eastAsia="Malgun Gothic" w:hAnsi="Malgun Gothic"/>
          <w:i w:val="false"/>
          <w:iCs w:val="false"/>
          <w:sz w:val="18"/>
          <w:szCs w:val="18"/>
        </w:rPr>
        <w:t xml:space="preserve">• point only (no CI): Liu 2012, Lund 2010, Keegan 2007, Harper 2009, Gopalani 2020, McCracken 2007.</w:t>
      </w:r>
    </w:p>
    <w:p>
      <w:pPr>
        <w:spacing w:after="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spacing w:after="80"/>
      </w:pPr>
      <w:r>
        <w:rPr>
          <w:rFonts w:ascii="Malgun Gothic" w:cs="Malgun Gothic" w:eastAsia="Malgun Gothic" w:hAnsi="Malgun Gothic"/>
          <w:i w:val="false"/>
          <w:iCs w:val="false"/>
          <w:sz w:val="18"/>
          <w:szCs w:val="18"/>
        </w:rPr>
        <w:t xml:space="preserve">• Carozza 2006 (Carozza 2006, NAACCR/CiNA, 15 registries, 1995–2000). The table reports female</w:t>
      </w:r>
    </w:p>
    <w:p>
      <w:pPr>
        <w:spacing w:after="80"/>
      </w:pPr>
      <w:r>
        <w:rPr>
          <w:rFonts w:ascii="Malgun Gothic" w:cs="Malgun Gothic" w:eastAsia="Malgun Gothic" w:hAnsi="Malgun Gothic"/>
          <w:i w:val="false"/>
          <w:iCs w:val="false"/>
          <w:sz w:val="18"/>
          <w:szCs w:val="18"/>
        </w:rPr>
        <w:t xml:space="preserve">• invasive breast rates with standard errors (2000 US std): Latina 89.2 (SE 0.44), non-Hispanic</w:t>
      </w:r>
    </w:p>
    <w:p>
      <w:pPr>
        <w:spacing w:after="80"/>
      </w:pPr>
      <w:r>
        <w:rPr>
          <w:rFonts w:ascii="Malgun Gothic" w:cs="Malgun Gothic" w:eastAsia="Malgun Gothic" w:hAnsi="Malgun Gothic"/>
          <w:i w:val="false"/>
          <w:iCs w:val="false"/>
          <w:sz w:val="18"/>
          <w:szCs w:val="18"/>
        </w:rPr>
        <w:t xml:space="preserve">• White 138.7 (SE 0.21). IRR = 89.2/138.7 = 0.643, reproducing the paper's printed SIR of 0.64;</w:t>
      </w:r>
    </w:p>
    <w:p>
      <w:pPr>
        <w:spacing w:after="80"/>
      </w:pPr>
      <w:r>
        <w:rPr>
          <w:rFonts w:ascii="Malgun Gothic" w:cs="Malgun Gothic" w:eastAsia="Malgun Gothic" w:hAnsi="Malgun Gothic"/>
          <w:i w:val="false"/>
          <w:iCs w:val="false"/>
          <w:sz w:val="18"/>
          <w:szCs w:val="18"/>
        </w:rPr>
        <w:t xml:space="preserve">• 95% CI (0.637, 0.650) by the delta method from the reported rate SEs (rate CIs = rate ± 1.96·SE).</w:t>
      </w:r>
    </w:p>
    <w:p>
      <w:pPr>
        <w:spacing w:after="80"/>
      </w:pPr>
      <w:r>
        <w:rPr>
          <w:rFonts w:ascii="Malgun Gothic" w:cs="Malgun Gothic" w:eastAsia="Malgun Gothic" w:hAnsi="Malgun Gothic"/>
          <w:i w:val="false"/>
          <w:iCs w:val="false"/>
          <w:sz w:val="18"/>
          <w:szCs w:val="18"/>
        </w:rPr>
        <w:t xml:space="preserve">• Representative for the Hispanic/Latina origin-analysis aggregate; overlaps Wilkinson 2002 (Miami</w:t>
      </w:r>
    </w:p>
    <w:p>
      <w:pPr>
        <w:spacing w:after="80"/>
      </w:pPr>
      <w:r>
        <w:rPr>
          <w:rFonts w:ascii="Malgun Gothic" w:cs="Malgun Gothic" w:eastAsia="Malgun Gothic" w:hAnsi="Malgun Gothic"/>
          <w:i w:val="false"/>
          <w:iCs w:val="false"/>
          <w:sz w:val="18"/>
          <w:szCs w:val="18"/>
        </w:rPr>
        <w:t xml:space="preserve">• Hispanic, sensitivity).</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NHW comparator reported apart from the minority rates (same-paper companion table or supplement; Nash 2022 the one external comparator)</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Table 4 gives origin-specific female-breast rates with 95% CIs</w:t>
      </w:r>
    </w:p>
    <w:p>
      <w:pPr>
        <w:spacing w:after="80"/>
      </w:pPr>
      <w:r>
        <w:rPr>
          <w:rFonts w:ascii="Malgun Gothic" w:cs="Malgun Gothic" w:eastAsia="Malgun Gothic" w:hAnsi="Malgun Gothic"/>
          <w:i w:val="false"/>
          <w:iCs w:val="false"/>
          <w:sz w:val="18"/>
          <w:szCs w:val="18"/>
        </w:rPr>
        <w:t xml:space="preserve">• (Cuban 108.0, Mexican 71.9, New Latino 97.8, Puerto Rican 116.9), and the</w:t>
      </w:r>
    </w:p>
    <w:p>
      <w:pPr>
        <w:spacing w:after="80"/>
      </w:pPr>
      <w:r>
        <w:rPr>
          <w:rFonts w:ascii="Malgun Gothic" w:cs="Malgun Gothic" w:eastAsia="Malgun Gothic" w:hAnsi="Malgun Gothic"/>
          <w:i w:val="false"/>
          <w:iCs w:val="false"/>
          <w:sz w:val="18"/>
          <w:szCs w:val="18"/>
        </w:rPr>
        <w:t xml:space="preserve">• non-Hispanic White Florida comparator is reported in Table 2: 140.4 (137.6–143.2),</w:t>
      </w:r>
    </w:p>
    <w:p>
      <w:pPr>
        <w:spacing w:after="80"/>
      </w:pPr>
      <w:r>
        <w:rPr>
          <w:rFonts w:ascii="Malgun Gothic" w:cs="Malgun Gothic" w:eastAsia="Malgun Gothic" w:hAnsi="Malgun Gothic"/>
          <w:i w:val="false"/>
          <w:iCs w:val="false"/>
          <w:sz w:val="18"/>
          <w:szCs w:val="18"/>
        </w:rPr>
        <w:t xml:space="preserve">• same registry (Florida, 1999–2001), same standard (2000 US). IRR = origin rate /</w:t>
      </w:r>
    </w:p>
    <w:p>
      <w:pPr>
        <w:spacing w:after="80"/>
      </w:pPr>
      <w:r>
        <w:rPr>
          <w:rFonts w:ascii="Malgun Gothic" w:cs="Malgun Gothic" w:eastAsia="Malgun Gothic" w:hAnsi="Malgun Gothic"/>
          <w:i w:val="false"/>
          <w:iCs w:val="false"/>
          <w:sz w:val="18"/>
          <w:szCs w:val="18"/>
        </w:rPr>
        <w:t xml:space="preserve">• 140.4, with the 95% CI propagated from both rate CIs by the delta method (e.g.,</w:t>
      </w:r>
    </w:p>
    <w:p>
      <w:pPr>
        <w:spacing w:after="80"/>
      </w:pPr>
      <w:r>
        <w:rPr>
          <w:rFonts w:ascii="Malgun Gothic" w:cs="Malgun Gothic" w:eastAsia="Malgun Gothic" w:hAnsi="Malgun Gothic"/>
          <w:i w:val="false"/>
          <w:iCs w:val="false"/>
          <w:sz w:val="18"/>
          <w:szCs w:val="18"/>
        </w:rPr>
        <w:t xml:space="preserve">• Cuban 0.769 [0.688, 0.860]). These reproduce the authors' printed rounded rate</w:t>
      </w:r>
    </w:p>
    <w:p>
      <w:pPr>
        <w:spacing w:after="80"/>
      </w:pPr>
      <w:r>
        <w:rPr>
          <w:rFonts w:ascii="Malgun Gothic" w:cs="Malgun Gothic" w:eastAsia="Malgun Gothic" w:hAnsi="Malgun Gothic"/>
          <w:i w:val="false"/>
          <w:iCs w:val="false"/>
          <w:sz w:val="18"/>
          <w:szCs w:val="18"/>
        </w:rPr>
        <w:t xml:space="preserve">• ratios (0.8/0.5/0.7/0.8).</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pPr>
        <w:pStyle w:val="Heading2"/>
        <w:spacing w:after="100" w:before="200"/>
      </w:pPr>
      <w:r>
        <w:rPr>
          <w:rFonts w:ascii="Malgun Gothic" w:cs="Malgun Gothic" w:eastAsia="Malgun Gothic" w:hAnsi="Malgun Gothic"/>
          <w:b/>
          <w:bCs/>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six were read from full text and enter the ledger only as</w:t>
      </w:r>
    </w:p>
    <w:p>
      <w:pPr>
        <w:spacing w:after="80"/>
      </w:pPr>
      <w:r>
        <w:rPr>
          <w:rFonts w:ascii="Malgun Gothic" w:cs="Malgun Gothic" w:eastAsia="Malgun Gothic" w:hAnsi="Malgun Gothic"/>
          <w:i w:val="false"/>
          <w:iCs w:val="false"/>
          <w:sz w:val="18"/>
          <w:szCs w:val="18"/>
        </w:rPr>
        <w:t xml:space="preserve">overlap/sensitivity rows; each collapses to an existing cell representative</w:t>
      </w:r>
    </w:p>
    <w:p>
      <w:pPr>
        <w:spacing w:after="80"/>
      </w:pPr>
      <w:r>
        <w:rPr>
          <w:rFonts w:ascii="Malgun Gothic" w:cs="Malgun Gothic" w:eastAsia="Malgun Gothic" w:hAnsi="Malgun Gothic"/>
          <w:i w:val="false"/>
          <w:iCs w:val="false"/>
          <w:sz w:val="18"/>
          <w:szCs w:val="18"/>
        </w:rPr>
        <w:t xml:space="preserve">(finalize_representatives), so none changes a main-text estimate.</w:t>
      </w:r>
    </w:p>
    <w:p>
      <w:pPr>
        <w:spacing w:after="80"/>
      </w:pPr>
      <w:r>
        <w:rPr>
          <w:rFonts w:ascii="Malgun Gothic" w:cs="Malgun Gothic" w:eastAsia="Malgun Gothic" w:hAnsi="Malgun Gothic"/>
          <w:i w:val="false"/>
          <w:iCs w:val="false"/>
          <w:sz w:val="18"/>
          <w:szCs w:val="18"/>
        </w:rPr>
        <w:t xml:space="preserve">• Gomez  2010 (Gomez 2010, California Cancer Registry, 1988-2004). Table 1</w:t>
      </w:r>
    </w:p>
    <w:p>
      <w:pPr>
        <w:spacing w:after="80"/>
      </w:pPr>
      <w:r>
        <w:rPr>
          <w:rFonts w:ascii="Malgun Gothic" w:cs="Malgun Gothic" w:eastAsia="Malgun Gothic" w:hAnsi="Malgun Gothic"/>
          <w:i w:val="false"/>
          <w:iCs w:val="false"/>
          <w:sz w:val="18"/>
          <w:szCs w:val="18"/>
        </w:rPr>
        <w:t xml:space="preserve">• prints age-standardized (2000 US) invasive breast rates: NHW 146.1</w:t>
      </w:r>
    </w:p>
    <w:p>
      <w:pPr>
        <w:spacing w:after="80"/>
      </w:pPr>
      <w:r>
        <w:rPr>
          <w:rFonts w:ascii="Malgun Gothic" w:cs="Malgun Gothic" w:eastAsia="Malgun Gothic" w:hAnsi="Malgun Gothic"/>
          <w:i w:val="false"/>
          <w:iCs w:val="false"/>
          <w:sz w:val="18"/>
          <w:szCs w:val="18"/>
        </w:rPr>
        <w:t xml:space="preserve">• (145.5-146.7); Chinese 73.5 (71.6-75.4), Japanese 102.5 (99.3-105.9), Filipina</w:t>
      </w:r>
    </w:p>
    <w:p>
      <w:pPr>
        <w:spacing w:after="80"/>
      </w:pPr>
      <w:r>
        <w:rPr>
          <w:rFonts w:ascii="Malgun Gothic" w:cs="Malgun Gothic" w:eastAsia="Malgun Gothic" w:hAnsi="Malgun Gothic"/>
          <w:i w:val="false"/>
          <w:iCs w:val="false"/>
          <w:sz w:val="18"/>
          <w:szCs w:val="18"/>
        </w:rPr>
        <w:t xml:space="preserve">• 100.4 (98.1-102.8), Korean 46.3 (43.8-49.0), Vietnamese 59.9 (56.7-63.1). IRR =</w:t>
      </w:r>
    </w:p>
    <w:p>
      <w:pPr>
        <w:spacing w:after="80"/>
      </w:pPr>
      <w:r>
        <w:rPr>
          <w:rFonts w:ascii="Malgun Gothic" w:cs="Malgun Gothic" w:eastAsia="Malgun Gothic" w:hAnsi="Malgun Gothic"/>
          <w:i w:val="false"/>
          <w:iCs w:val="false"/>
          <w:sz w:val="18"/>
          <w:szCs w:val="18"/>
        </w:rPr>
        <w:t xml:space="preserve">• rate/146.1 with delta-method CI (e.g. Chinese 0.503, 0.490-0.516). State</w:t>
      </w:r>
    </w:p>
    <w:p>
      <w:pPr>
        <w:spacing w:after="80"/>
      </w:pPr>
      <w:r>
        <w:rPr>
          <w:rFonts w:ascii="Malgun Gothic" w:cs="Malgun Gothic" w:eastAsia="Malgun Gothic" w:hAnsi="Malgun Gothic"/>
          <w:i w:val="false"/>
          <w:iCs w:val="false"/>
          <w:sz w:val="18"/>
          <w:szCs w:val="18"/>
        </w:rPr>
        <w:t xml:space="preserve">• registry (&lt; national SEER-21); overlaps the SEER-21 subgroup reps (Gomez 2026).</w:t>
      </w:r>
    </w:p>
    <w:p>
      <w:pPr>
        <w:spacing w:after="80"/>
      </w:pPr>
      <w:r>
        <w:rPr>
          <w:rFonts w:ascii="Malgun Gothic" w:cs="Malgun Gothic" w:eastAsia="Malgun Gothic" w:hAnsi="Malgun Gothic"/>
          <w:i w:val="false"/>
          <w:iCs w:val="false"/>
          <w:sz w:val="18"/>
          <w:szCs w:val="18"/>
        </w:rPr>
        <w:t xml:space="preserve">• Jin  2016 (Jin 2016, eight-state SEER+NPCR, 2009-2011). Table 4 (female)</w:t>
      </w:r>
    </w:p>
    <w:p>
      <w:pPr>
        <w:spacing w:after="80"/>
      </w:pPr>
      <w:r>
        <w:rPr>
          <w:rFonts w:ascii="Malgun Gothic" w:cs="Malgun Gothic" w:eastAsia="Malgun Gothic" w:hAnsi="Malgun Gothic"/>
          <w:i w:val="false"/>
          <w:iCs w:val="false"/>
          <w:sz w:val="18"/>
          <w:szCs w:val="18"/>
        </w:rPr>
        <w:t xml:space="preserve">• prints breast rates with CIs: NHW 134.4 (133.8-135.1); Chinese 82.8, Filipina</w:t>
      </w:r>
    </w:p>
    <w:p>
      <w:pPr>
        <w:spacing w:after="80"/>
      </w:pPr>
      <w:r>
        <w:rPr>
          <w:rFonts w:ascii="Malgun Gothic" w:cs="Malgun Gothic" w:eastAsia="Malgun Gothic" w:hAnsi="Malgun Gothic"/>
          <w:i w:val="false"/>
          <w:iCs w:val="false"/>
          <w:sz w:val="18"/>
          <w:szCs w:val="18"/>
        </w:rPr>
        <w:t xml:space="preserve">• 111.3, Japanese 127.8, Korean 75.6, South Asian [=Asian Indian/Pakistani]</w:t>
      </w:r>
    </w:p>
    <w:p>
      <w:pPr>
        <w:spacing w:after="80"/>
      </w:pPr>
      <w:r>
        <w:rPr>
          <w:rFonts w:ascii="Malgun Gothic" w:cs="Malgun Gothic" w:eastAsia="Malgun Gothic" w:hAnsi="Malgun Gothic"/>
          <w:i w:val="false"/>
          <w:iCs w:val="false"/>
          <w:sz w:val="18"/>
          <w:szCs w:val="18"/>
        </w:rPr>
        <w:t xml:space="preserve">• 106.3, Vietnamese 72.2, Asian aggregate 94.5. IRR = rate/134.4, delta-method</w:t>
      </w:r>
    </w:p>
    <w:p>
      <w:pPr>
        <w:spacing w:after="80"/>
      </w:pPr>
      <w:r>
        <w:rPr>
          <w:rFonts w:ascii="Malgun Gothic" w:cs="Malgun Gothic" w:eastAsia="Malgun Gothic" w:hAnsi="Malgun Gothic"/>
          <w:i w:val="false"/>
          <w:iCs w:val="false"/>
          <w:sz w:val="18"/>
          <w:szCs w:val="18"/>
        </w:rPr>
        <w:t xml:space="preserve">• CI. Eight-state subset (&lt; national SEER-21); overlaps Gomez 2026.</w:t>
      </w:r>
    </w:p>
    <w:p>
      <w:pPr>
        <w:spacing w:after="80"/>
      </w:pPr>
      <w:r>
        <w:rPr>
          <w:rFonts w:ascii="Malgun Gothic" w:cs="Malgun Gothic" w:eastAsia="Malgun Gothic" w:hAnsi="Malgun Gothic"/>
          <w:i w:val="false"/>
          <w:iCs w:val="false"/>
          <w:sz w:val="18"/>
          <w:szCs w:val="18"/>
        </w:rPr>
        <w:t xml:space="preserve">• Watanabe-Galloway  2015 (Watanabe-Galloway 2015, NE/ND/SD state registries, 2002-2009).</w:t>
      </w:r>
    </w:p>
    <w:p>
      <w:pPr>
        <w:spacing w:after="80"/>
      </w:pPr>
      <w:r>
        <w:rPr>
          <w:rFonts w:ascii="Malgun Gothic" w:cs="Malgun Gothic" w:eastAsia="Malgun Gothic" w:hAnsi="Malgun Gothic"/>
          <w:i w:val="false"/>
          <w:iCs w:val="false"/>
          <w:sz w:val="18"/>
          <w:szCs w:val="18"/>
        </w:rPr>
        <w:t xml:space="preserve">• Table 2 prints all-ages age-standardized (2000 US) breast rates: AI/AN 134.6,</w:t>
      </w:r>
    </w:p>
    <w:p>
      <w:pPr>
        <w:spacing w:after="80"/>
      </w:pPr>
      <w:r>
        <w:rPr>
          <w:rFonts w:ascii="Malgun Gothic" w:cs="Malgun Gothic" w:eastAsia="Malgun Gothic" w:hAnsi="Malgun Gothic"/>
          <w:i w:val="false"/>
          <w:iCs w:val="false"/>
          <w:sz w:val="18"/>
          <w:szCs w:val="18"/>
        </w:rPr>
        <w:t xml:space="preserve">• NHW 149.3, RR 0.9. IRR = 134.6/149.3 = 0.902. Unlinked state registries</w:t>
      </w:r>
    </w:p>
    <w:p>
      <w:pPr>
        <w:spacing w:after="80"/>
      </w:pPr>
      <w:r>
        <w:rPr>
          <w:rFonts w:ascii="Malgun Gothic" w:cs="Malgun Gothic" w:eastAsia="Malgun Gothic" w:hAnsi="Malgun Gothic"/>
          <w:i w:val="false"/>
          <w:iCs w:val="false"/>
          <w:sz w:val="18"/>
          <w:szCs w:val="18"/>
        </w:rPr>
        <w:t xml:space="preserve">• undercount AI/AN, so this is demoted by the AI/AN-undercount rule below the</w:t>
      </w:r>
    </w:p>
    <w:p>
      <w:pPr>
        <w:spacing w:after="80"/>
      </w:pPr>
      <w:r>
        <w:rPr>
          <w:rFonts w:ascii="Malgun Gothic" w:cs="Malgun Gothic" w:eastAsia="Malgun Gothic" w:hAnsi="Malgun Gothic"/>
          <w:i w:val="false"/>
          <w:iCs w:val="false"/>
          <w:sz w:val="18"/>
          <w:szCs w:val="18"/>
        </w:rPr>
        <w:t xml:space="preserve">• IHS-linked Northern-Plains representative (Melkonian 2021).</w:t>
      </w:r>
    </w:p>
    <w:p>
      <w:pPr>
        <w:spacing w:after="80"/>
      </w:pPr>
      <w:r>
        <w:rPr>
          <w:rFonts w:ascii="Malgun Gothic" w:cs="Malgun Gothic" w:eastAsia="Malgun Gothic" w:hAnsi="Malgun Gothic"/>
          <w:i w:val="false"/>
          <w:iCs w:val="false"/>
          <w:sz w:val="18"/>
          <w:szCs w:val="18"/>
        </w:rPr>
        <w:t xml:space="preserve">• Melkonian  2022 (Melkonian 2022, urban IHS-linked USCS-AIAD, 2008-2017). Table 2</w:t>
      </w:r>
    </w:p>
    <w:p>
      <w:pPr>
        <w:spacing w:after="80"/>
      </w:pPr>
      <w:r>
        <w:rPr>
          <w:rFonts w:ascii="Malgun Gothic" w:cs="Malgun Gothic" w:eastAsia="Malgun Gothic" w:hAnsi="Malgun Gothic"/>
          <w:i w:val="false"/>
          <w:iCs w:val="false"/>
          <w:sz w:val="18"/>
          <w:szCs w:val="18"/>
        </w:rPr>
        <w:t xml:space="preserve">• prints all-ages breast rates for urban populations: AI/AN 74.2, NHW 129.6, RR</w:t>
      </w:r>
    </w:p>
    <w:p>
      <w:pPr>
        <w:spacing w:after="80"/>
      </w:pPr>
      <w:r>
        <w:rPr>
          <w:rFonts w:ascii="Malgun Gothic" w:cs="Malgun Gothic" w:eastAsia="Malgun Gothic" w:hAnsi="Malgun Gothic"/>
          <w:i w:val="false"/>
          <w:iCs w:val="false"/>
          <w:sz w:val="18"/>
          <w:szCs w:val="18"/>
        </w:rPr>
        <w:t xml:space="preserve">• 0.57. IRR = 74.2/129.6 = 0.573. Urban-restricted IHS subset (&lt; full PRCDA);</w:t>
      </w:r>
    </w:p>
    <w:p>
      <w:pPr>
        <w:spacing w:after="80"/>
      </w:pPr>
      <w:r>
        <w:rPr>
          <w:rFonts w:ascii="Malgun Gothic" w:cs="Malgun Gothic" w:eastAsia="Malgun Gothic" w:hAnsi="Malgun Gothic"/>
          <w:i w:val="false"/>
          <w:iCs w:val="false"/>
          <w:sz w:val="18"/>
          <w:szCs w:val="18"/>
        </w:rPr>
        <w:t xml:space="preserve">• overlaps the AI/AN aggregate representative (Gopalani 2020).</w:t>
      </w:r>
    </w:p>
    <w:p>
      <w:pPr>
        <w:spacing w:after="80"/>
      </w:pPr>
      <w:r>
        <w:rPr>
          <w:rFonts w:ascii="Malgun Gothic" w:cs="Malgun Gothic" w:eastAsia="Malgun Gothic" w:hAnsi="Malgun Gothic"/>
          <w:i w:val="false"/>
          <w:iCs w:val="false"/>
          <w:sz w:val="18"/>
          <w:szCs w:val="18"/>
        </w:rPr>
        <w:t xml:space="preserve">• Amirikia  2011 (Amirikia 2011, California Cancer Registry, 1988-2006). Table 2</w:t>
      </w:r>
    </w:p>
    <w:p>
      <w:pPr>
        <w:spacing w:after="80"/>
      </w:pPr>
      <w:r>
        <w:rPr>
          <w:rFonts w:ascii="Malgun Gothic" w:cs="Malgun Gothic" w:eastAsia="Malgun Gothic" w:hAnsi="Malgun Gothic"/>
          <w:i w:val="false"/>
          <w:iCs w:val="false"/>
          <w:sz w:val="18"/>
          <w:szCs w:val="18"/>
        </w:rPr>
        <w:t xml:space="preserve">• prints age-specific triple-negative rates by race (0-39, 40-49, 50-59, 60-74,</w:t>
      </w:r>
    </w:p>
    <w:p>
      <w:pPr>
        <w:spacing w:after="80"/>
      </w:pPr>
      <w:r>
        <w:rPr>
          <w:rFonts w:ascii="Malgun Gothic" w:cs="Malgun Gothic" w:eastAsia="Malgun Gothic" w:hAnsi="Malgun Gothic"/>
          <w:i w:val="false"/>
          <w:iCs w:val="false"/>
          <w:sz w:val="18"/>
          <w:szCs w:val="18"/>
        </w:rPr>
        <w:t xml:space="preserve">• &gt;=75). These were age-standardized by the review to all ages with 2000 US</w:t>
      </w:r>
    </w:p>
    <w:p>
      <w:pPr>
        <w:spacing w:after="80"/>
      </w:pPr>
      <w:r>
        <w:rPr>
          <w:rFonts w:ascii="Malgun Gothic" w:cs="Malgun Gothic" w:eastAsia="Malgun Gothic" w:hAnsi="Malgun Gothic"/>
          <w:i w:val="false"/>
          <w:iCs w:val="false"/>
          <w:sz w:val="18"/>
          <w:szCs w:val="18"/>
        </w:rPr>
        <w:t xml:space="preserve">• standard-population weights (0.5697/0.1540/0.1112/0.1048/0.0603): NHB 23.6, NHW</w:t>
      </w:r>
    </w:p>
    <w:p>
      <w:pPr>
        <w:spacing w:after="80"/>
      </w:pPr>
      <w:r>
        <w:rPr>
          <w:rFonts w:ascii="Malgun Gothic" w:cs="Malgun Gothic" w:eastAsia="Malgun Gothic" w:hAnsi="Malgun Gothic"/>
          <w:i w:val="false"/>
          <w:iCs w:val="false"/>
          <w:sz w:val="18"/>
          <w:szCs w:val="18"/>
        </w:rPr>
        <w:t xml:space="preserve">• 12.6, Hispanic 10.2 per 100,000. IRR(Black)=1.87, IRR(Hispanic)=0.81.</w:t>
      </w:r>
    </w:p>
    <w:p>
      <w:pPr>
        <w:spacing w:after="80"/>
      </w:pPr>
      <w:r>
        <w:rPr>
          <w:rFonts w:ascii="Malgun Gothic" w:cs="Malgun Gothic" w:eastAsia="Malgun Gothic" w:hAnsi="Malgun Gothic"/>
          <w:i w:val="false"/>
          <w:iCs w:val="false"/>
          <w:sz w:val="18"/>
          <w:szCs w:val="18"/>
        </w:rPr>
        <w:t xml:space="preserve">• California registry (&lt; national USCS); overlaps the USCS TNBC rep (Sung 2023).</w:t>
      </w:r>
    </w:p>
    <w:p>
      <w:pPr>
        <w:spacing w:after="80"/>
      </w:pPr>
      <w:r>
        <w:rPr>
          <w:rFonts w:ascii="Malgun Gothic" w:cs="Malgun Gothic" w:eastAsia="Malgun Gothic" w:hAnsi="Malgun Gothic"/>
          <w:i w:val="false"/>
          <w:iCs w:val="false"/>
          <w:sz w:val="18"/>
          <w:szCs w:val="18"/>
        </w:rPr>
        <w:t xml:space="preserve">• Zhang  2022 (Zhang 2022, NPCR+SEER/USCS, 2019). The text (Figure 2A) prints the</w:t>
      </w:r>
    </w:p>
    <w:p>
      <w:pPr>
        <w:spacing w:after="80"/>
      </w:pPr>
      <w:r>
        <w:rPr>
          <w:rFonts w:ascii="Malgun Gothic" w:cs="Malgun Gothic" w:eastAsia="Malgun Gothic" w:hAnsi="Malgun Gothic"/>
          <w:i w:val="false"/>
          <w:iCs w:val="false"/>
          <w:sz w:val="18"/>
          <w:szCs w:val="18"/>
        </w:rPr>
        <w:t xml:space="preserve">• 2019 age-adjusted triple-negative rates by race: NHB 25.0, NHW 12.8, Hispanic</w:t>
      </w:r>
    </w:p>
    <w:p>
      <w:pPr>
        <w:spacing w:after="80"/>
      </w:pPr>
      <w:r>
        <w:rPr>
          <w:rFonts w:ascii="Malgun Gothic" w:cs="Malgun Gothic" w:eastAsia="Malgun Gothic" w:hAnsi="Malgun Gothic"/>
          <w:i w:val="false"/>
          <w:iCs w:val="false"/>
          <w:sz w:val="18"/>
          <w:szCs w:val="18"/>
        </w:rPr>
        <w:t xml:space="preserve">• 11.5, AI/AN 9.4, AANHPI 9.5 per 100,000. IRR = rate/12.8 (NHB 1.95, Hispanic 0.90,</w:t>
      </w:r>
    </w:p>
    <w:p>
      <w:pPr>
        <w:spacing w:after="80"/>
      </w:pPr>
      <w:r>
        <w:rPr>
          <w:rFonts w:ascii="Malgun Gothic" w:cs="Malgun Gothic" w:eastAsia="Malgun Gothic" w:hAnsi="Malgun Gothic"/>
          <w:i w:val="false"/>
          <w:iCs w:val="false"/>
          <w:sz w:val="18"/>
          <w:szCs w:val="18"/>
        </w:rPr>
        <w:t xml:space="preserve">• AI/AN 0.73, AANHPI 0.74). Single-year 2019 cross-section; overlaps the USCS TNBC</w:t>
      </w:r>
    </w:p>
    <w:p>
      <w:pPr>
        <w:spacing w:after="80"/>
      </w:pPr>
      <w:r>
        <w:rPr>
          <w:rFonts w:ascii="Malgun Gothic" w:cs="Malgun Gothic" w:eastAsia="Malgun Gothic" w:hAnsi="Malgun Gothic"/>
          <w:i w:val="false"/>
          <w:iCs w:val="false"/>
          <w:sz w:val="18"/>
          <w:szCs w:val="18"/>
        </w:rPr>
        <w:t xml:space="preserve">•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2026-09-05T10:47:08.924Z</dcterms:created>
  <dcterms:modified xsi:type="dcterms:W3CDTF">2026-09-05T10:47:08.925Z</dcterms:modified>
</cp:coreProperties>
</file>

<file path=docProps/custom.xml><?xml version="1.0" encoding="utf-8"?>
<Properties xmlns="http://schemas.openxmlformats.org/officeDocument/2006/custom-properties" xmlns:vt="http://schemas.openxmlformats.org/officeDocument/2006/docPropsVTypes"/>
</file>