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1.27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analytic cell,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w:t>
      </w:r>
    </w:p>
    <w:p>
      <w:pPr>
        <w:spacing w:after="160" w:line="360"/>
      </w:pPr>
      <w:r>
        <w:rPr>
          <w:rFonts w:ascii="Times New Roman" w:cs="Times New Roman" w:eastAsia="Times New Roman" w:hAnsi="Times New Roman"/>
          <w:color w:val="000000"/>
          <w:sz w:val="24"/>
          <w:szCs w:val="24"/>
        </w:rPr>
        <w:t xml:space="preserve">A publication that re-reported an estimate already captured from the same registry, diagnosis period, and population was not an independent estimate, so it was never a candidate representative. Two such cases were distinguished by whether another included publication already carries the same content. 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 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 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reported rates (with a reported or Poisson-derived variance)—and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Each study was appraised as the source of the estimates taken from it here rather than as a whole publication, and the items divide accordingly. 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 Item 8 depends on the estimates themselves and was judged on those extracted for this review, a variance counting as available when the source printed an interval or when one could be recovered from what the source reports. 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—22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1.27 (1.21–1.33),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(28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(24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21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 Supplementary Table 6b); restricting to NHW-comparator estimates left 66 unchanged (1 changed, 18 dropped; 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(1.27)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follows the pattern in earlier Indian Health Service–linked regional reports,</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and the low Navajo-area rate that in the Navajo Nation registry analysis;</w:t>
      </w:r>
      <w:r>
        <w:rPr>
          <w:rFonts w:ascii="Times New Roman" w:cs="Times New Roman" w:eastAsia="Times New Roman" w:hAnsi="Times New Roman"/>
          <w:color w:val="000000"/>
          <w:sz w:val="24"/>
          <w:szCs w:val="24"/>
          <w:vertAlign w:val="superscript"/>
        </w:rPr>
        <w:t xml:space="preserve">48</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two national figures differ substantially—0.56 from an unlinked source and 0.87 from an IHS-linked one—but they come from separate studies, so the gap cannot be read as the effect of linkage alone. Three differences run together. The unlinked estimate covers 1999–2015 and the IHS-linked one 2010–2015, and the AI/AN ratio rose over that interval. The IHS-linked figure is confined to Purchased/Referred Care Delivery Area counties, and that restriction applies to the NHW comparison group as well, so its numerator and denominator both describe a different population from the national one. Those counties contain or adjoin federally recognized tribal lands and hold about 53% of the U.S. AI/AN population, with regional coverage from 16% in the East to all of Alaska,</w:t>
      </w:r>
      <w:r>
        <w:rPr>
          <w:rFonts w:ascii="Times New Roman" w:cs="Times New Roman" w:eastAsia="Times New Roman" w:hAnsi="Times New Roman"/>
          <w:color w:val="000000"/>
          <w:sz w:val="24"/>
          <w:szCs w:val="24"/>
          <w:vertAlign w:val="superscript"/>
        </w:rPr>
        <w:t xml:space="preserve">53</w:t>
      </w:r>
      <w:r>
        <w:rPr>
          <w:rFonts w:ascii="Times New Roman" w:cs="Times New Roman" w:eastAsia="Times New Roman" w:hAnsi="Times New Roman"/>
          <w:color w:val="000000"/>
          <w:sz w:val="24"/>
          <w:szCs w:val="24"/>
        </w:rPr>
        <w:t xml:space="preserve"> so the IHS-linked figures describe about half of this population rather than the whole of it, and the better-covered regions are those where AI/AN residents make up a larger share of the county population. Only the third difference—how AI/AN race was ascertained—is the linkage itself.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and Figure 2). 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for most of the cells each restriction could re-examine, but not uniformly. Cells that no estimate could fill under a restriction were dropped, and a dropped cell is untested under that restriction rather than confirmed by it—the directly-reported restriction alone leaves 46 of the 85 cells unexamined, because registries publish rates rather than ratios. Standard-population differences changed little. The low-risk-of-bias restriction moved the most cells (19 of the 66 it could re-examine), concentrated in the disaggregated AANHPI subgroups, the age-specific cells whose estimates sit near the NHW rate, as with the Japanese cell above, and the AI/AN cells. The AI/AN change is the largest, and it turns on how uncertainty was reported rather than on a difference in bias. The national aggregate's representative—the 2010–2015 IHS-linked estimate of 0.87—is rated moderate only because it prints no confidence interval, so the restriction replaces it with the 1999–2004 IHS-linked estimate of 0.63, which does print intervals. The gap between the two is the rise over time described above, not two sources disagreeing about one period. That substitution nonetheless moves AI/AN below Hispanic/Latina women, so the ordering of the aggregates is not preserved under that restriction, and neither the ordering nor a few near-null subgroup signs should be read as established.</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 Across cells, differences in standard population, underlying age structure, registry region, and diagnosis period therefore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and their aggregates can be seen together in one place. 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 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2240" w:h="15840"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1080" w:right="1080" w:bottom="1080" w:left="108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Figures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r>
        <w:br w:type="page"/>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120" w:line="260"/>
      </w:pPr>
      <w:r>
        <w:rPr>
          <w:rFonts w:ascii="Malgun Gothic" w:cs="Malgun Gothic" w:eastAsia="Malgun Gothic" w:hAnsi="Malgun Gothic"/>
          <w:i/>
          <w:iCs/>
          <w:sz w:val="16"/>
          <w:szCs w:val="16"/>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2026-09-23T09:15:53.211Z</dcterms:created>
  <dcterms:modified xsi:type="dcterms:W3CDTF">2026-09-23T09:15:53.211Z</dcterms:modified>
</cp:coreProperties>
</file>

<file path=docProps/custom.xml><?xml version="1.0" encoding="utf-8"?>
<Properties xmlns="http://schemas.openxmlformats.org/officeDocument/2006/custom-properties" xmlns:vt="http://schemas.openxmlformats.org/officeDocument/2006/docPropsVTypes"/>
</file>