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S1.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S2.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S3.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S4.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S5.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Note S6.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S7.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S8. GRADE certainty of evidence</w:t>
      </w:r>
    </w:p>
    <w:p>
      <w:pPr>
        <w:spacing w:after="80"/>
      </w:pPr>
      <w:r>
        <w:rPr>
          <w:rFonts w:ascii="Malgun Gothic" w:cs="Malgun Gothic" w:eastAsia="Malgun Gothic" w:hAnsi="Malgun Gothic"/>
          <w:i/>
          <w:iCs/>
          <w:sz w:val="18"/>
          <w:szCs w:val="18"/>
        </w:rPr>
        <w:t xml:space="preserve">Observational bodies start Low; downgrade for RoB/inconsistency/imprecision; upgrade for large magnitude (IRR≤0.5 or ≥2.0). AI first pass.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S9.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S10.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S11.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S12.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2026-08-14T10:06:34.486Z</dcterms:created>
  <dcterms:modified xsi:type="dcterms:W3CDTF">2026-08-14T10:06:34.487Z</dcterms:modified>
</cp:coreProperties>
</file>

<file path=docProps/custom.xml><?xml version="1.0" encoding="utf-8"?>
<Properties xmlns="http://schemas.openxmlformats.org/officeDocument/2006/custom-properties" xmlns:vt="http://schemas.openxmlformats.org/officeDocument/2006/docPropsVTypes"/>
</file>