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56 of 74 cell representatives unchanged, with the 8 changed and 10 dropped cells concentrated in the disaggregated AANHPI subgroups; restricting to directly reported estimates left 35 unchanged (6 changed, 33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gave way to the external-NHW sensitivity estimate.</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2026-09-05T10:12:25.132Z</dcterms:created>
  <dcterms:modified xsi:type="dcterms:W3CDTF">2026-09-05T10:12:25.132Z</dcterms:modified>
</cp:coreProperties>
</file>

<file path=docProps/custom.xml><?xml version="1.0" encoding="utf-8"?>
<Properties xmlns="http://schemas.openxmlformats.org/officeDocument/2006/custom-properties" xmlns:vt="http://schemas.openxmlformats.org/officeDocument/2006/docPropsVTypes"/>
</file>