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(external comparator)” = an estimate that borrows an out-of-paper reference (a SEER-Explorer non-Hispanic White rate), retained only in the sensitivity analysis;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56 of 74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74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Representative for the Hispanic/Latina origin-analysis aggregate; overlaps Wilkinson 2002 (Miami</w:t>
      </w:r>
    </w:p>
    <w:p>
      <w:pPr>
        <w:spacing w:after="80"/>
      </w:pPr>
      <w:r>
        <w:rPr>
          <w:rFonts w:ascii="Malgun Gothic" w:cs="Malgun Gothic" w:eastAsia="Malgun Gothic" w:hAnsi="Malgun Gothic"/>
          <w:i w:val="false"/>
          <w:iCs w:val="false"/>
          <w:sz w:val="18"/>
          <w:szCs w:val="18"/>
        </w:rPr>
        <w:t xml:space="preserve">• Hispanic, sensitivity).</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2026-09-05T10:11:57.395Z</dcterms:created>
  <dcterms:modified xsi:type="dcterms:W3CDTF">2026-09-05T10:11:57.395Z</dcterms:modified>
</cp:coreProperties>
</file>

<file path=docProps/custom.xml><?xml version="1.0" encoding="utf-8"?>
<Properties xmlns="http://schemas.openxmlformats.org/officeDocument/2006/custom-properties" xmlns:vt="http://schemas.openxmlformats.org/officeDocument/2006/docPropsVTypes"/>
</file>