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that undercount AI/AN cases.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wherever one was available, and the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 Indian Health Service–linked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2026-09-06T02:23:22.516Z</dcterms:created>
  <dcterms:modified xsi:type="dcterms:W3CDTF">2026-09-06T02:23:22.516Z</dcterms:modified>
</cp:coreProperties>
</file>

<file path=docProps/custom.xml><?xml version="1.0" encoding="utf-8"?>
<Properties xmlns="http://schemas.openxmlformats.org/officeDocument/2006/custom-properties" xmlns:vt="http://schemas.openxmlformats.org/officeDocument/2006/docPropsVTypes"/>
</file>