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reported variance, drawn from unlinked state registries that are known to undercount AI/AN cases and so probably understates the true rate).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and the age-specific cells;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national registries misclassify race and undercount AI/AN cases, so an Indian Health Service–linked estimate was preferred for that group wherever one was available, and the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 Indian Health Service–linked estimates place AI/AN breast incidence at or above the NHW rate in the Southern Plains (1.33) and among Alaska Native women (1.09), whereas the Northern Plains figure—available only from unlinked state registries that undercount AI/AN cases—sits at 0.90 and probably understates the true rate. The direction of the comparison thus shifts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2026-09-06T01:30:03.079Z</dcterms:created>
  <dcterms:modified xsi:type="dcterms:W3CDTF">2026-09-06T01:30:03.079Z</dcterms:modified>
</cp:coreProperties>
</file>

<file path=docProps/custom.xml><?xml version="1.0" encoding="utf-8"?>
<Properties xmlns="http://schemas.openxmlformats.org/officeDocument/2006/custom-properties" xmlns:vt="http://schemas.openxmlformats.org/officeDocument/2006/docPropsVTypes"/>
</file>