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and all provided extractable quantitative data that entered the analysis, and the remaining 114 contributed to the narrative synthesis only (162 = 48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 “no (external comparator)” = an estimate that borrows an out-of-paper reference (a SEER-Explorer non-Hispanic White rate), retained only as an overlap record; “no (no usable IRR)” = the source named the subgroup but reported no rate or ratio from which an IRR could be formed.</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55 of 74 cells unchanged, 8 changed, 11 dropped. The changed and dropped cells were concentrated in the disaggregated AANHPI subgroups and the age-specific cells, whose representatives are computed estimates from moderate-risk-of-bias sources; the IHS-linked AI/AN representatives (aggregate, Navajo, Southern Plains, and Alaska Native) are unchanged because they are themselves low risk of bias, whereas the Northern Plains cell drops because its only estimate comes from unlinked state registries rated moderate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74 cells unchanged, 1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the single changed cell is Alaska Native, whose unstratified-White representative (Nash ANTR, 1.09) is replaced by the IHS-linked estimate reported against a non-Hispanic White reference (Melkonian, 1.25)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AANHPI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Carozza 2006,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Carozza 2006 (Carozza 2006, NAACCR/CiNA, 15 registries, 1995–2000). The table reports female</w:t>
      </w:r>
    </w:p>
    <w:p>
      <w:pPr>
        <w:spacing w:after="80"/>
      </w:pPr>
      <w:r>
        <w:rPr>
          <w:rFonts w:ascii="Malgun Gothic" w:cs="Malgun Gothic" w:eastAsia="Malgun Gothic" w:hAnsi="Malgun Gothic"/>
          <w:i w:val="false"/>
          <w:iCs w:val="false"/>
          <w:sz w:val="18"/>
          <w:szCs w:val="18"/>
        </w:rPr>
        <w:t xml:space="preserve">• invasive breast rates with standard errors (2000 US std): Latina 89.2 (SE 0.44), non-Hispanic</w:t>
      </w:r>
    </w:p>
    <w:p>
      <w:pPr>
        <w:spacing w:after="80"/>
      </w:pPr>
      <w:r>
        <w:rPr>
          <w:rFonts w:ascii="Malgun Gothic" w:cs="Malgun Gothic" w:eastAsia="Malgun Gothic" w:hAnsi="Malgun Gothic"/>
          <w:i w:val="false"/>
          <w:iCs w:val="false"/>
          <w:sz w:val="18"/>
          <w:szCs w:val="18"/>
        </w:rPr>
        <w:t xml:space="preserve">• White 138.7 (SE 0.21). IRR = 89.2/138.7 = 0.643, reproducing the paper's printed SIR of 0.64;</w:t>
      </w:r>
    </w:p>
    <w:p>
      <w:pPr>
        <w:spacing w:after="80"/>
      </w:pPr>
      <w:r>
        <w:rPr>
          <w:rFonts w:ascii="Malgun Gothic" w:cs="Malgun Gothic" w:eastAsia="Malgun Gothic" w:hAnsi="Malgun Gothic"/>
          <w:i w:val="false"/>
          <w:iCs w:val="false"/>
          <w:sz w:val="18"/>
          <w:szCs w:val="18"/>
        </w:rPr>
        <w:t xml:space="preserve">• 95% CI (0.637, 0.650) by the delta method from the reported rate SEs (rate CIs = rate ± 1.96·SE).</w:t>
      </w:r>
    </w:p>
    <w:p>
      <w:pPr>
        <w:spacing w:after="80"/>
      </w:pPr>
      <w:r>
        <w:rPr>
          <w:rFonts w:ascii="Malgun Gothic" w:cs="Malgun Gothic" w:eastAsia="Malgun Gothic" w:hAnsi="Malgun Gothic"/>
          <w:i w:val="false"/>
          <w:iCs w:val="false"/>
          <w:sz w:val="18"/>
          <w:szCs w:val="18"/>
        </w:rPr>
        <w:t xml:space="preserve">• Representative for the Hispanic/Latina origin-analysis aggregate; overlaps Wilkinson 2002 (Miami</w:t>
      </w:r>
    </w:p>
    <w:p>
      <w:pPr>
        <w:spacing w:after="80"/>
      </w:pPr>
      <w:r>
        <w:rPr>
          <w:rFonts w:ascii="Malgun Gothic" w:cs="Malgun Gothic" w:eastAsia="Malgun Gothic" w:hAnsi="Malgun Gothic"/>
          <w:i w:val="false"/>
          <w:iCs w:val="false"/>
          <w:sz w:val="18"/>
          <w:szCs w:val="18"/>
        </w:rPr>
        <w:t xml:space="preserve">• Hispanic, sensitivity).</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NHW comparator reported apart from the minority rates (same-paper companion table or supplement; Nash 2022 the one external comparator)</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six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w:t>
      </w:r>
    </w:p>
    <w:p>
      <w:pPr>
        <w:spacing w:after="80"/>
      </w:pPr>
      <w:r>
        <w:rPr>
          <w:rFonts w:ascii="Malgun Gothic" w:cs="Malgun Gothic" w:eastAsia="Malgun Gothic" w:hAnsi="Malgun Gothic"/>
          <w:i w:val="false"/>
          <w:iCs w:val="false"/>
          <w:sz w:val="18"/>
          <w:szCs w:val="18"/>
        </w:rPr>
        <w:t xml:space="preserve">• Table 2 prints all-ages age-standardized (2000 US) breast rates: AI/AN 134.6,</w:t>
      </w:r>
    </w:p>
    <w:p>
      <w:pPr>
        <w:spacing w:after="80"/>
      </w:pPr>
      <w:r>
        <w:rPr>
          <w:rFonts w:ascii="Malgun Gothic" w:cs="Malgun Gothic" w:eastAsia="Malgun Gothic" w:hAnsi="Malgun Gothic"/>
          <w:i w:val="false"/>
          <w:iCs w:val="false"/>
          <w:sz w:val="18"/>
          <w:szCs w:val="18"/>
        </w:rPr>
        <w:t xml:space="preserve">• NHW 149.3, RR 0.9. IRR = 134.6/149.3 = 0.902. These NE/ND/SD registries are the</w:t>
      </w:r>
    </w:p>
    <w:p>
      <w:pPr>
        <w:spacing w:after="80"/>
      </w:pPr>
      <w:r>
        <w:rPr>
          <w:rFonts w:ascii="Malgun Gothic" w:cs="Malgun Gothic" w:eastAsia="Malgun Gothic" w:hAnsi="Malgun Gothic"/>
          <w:i w:val="false"/>
          <w:iCs w:val="false"/>
          <w:sz w:val="18"/>
          <w:szCs w:val="18"/>
        </w:rPr>
        <w:t xml:space="preserve">• only Northern-Plains source in the ledger, so this is the Northern-Plains cell</w:t>
      </w:r>
    </w:p>
    <w:p>
      <w:pPr>
        <w:spacing w:after="80"/>
      </w:pPr>
      <w:r>
        <w:rPr>
          <w:rFonts w:ascii="Malgun Gothic" w:cs="Malgun Gothic" w:eastAsia="Malgun Gothic" w:hAnsi="Malgun Gothic"/>
          <w:i w:val="false"/>
          <w:iCs w:val="false"/>
          <w:sz w:val="18"/>
          <w:szCs w:val="18"/>
        </w:rPr>
        <w:t xml:space="preserve">• representative; because unlinked state registries undercount AI/AN, the row is</w:t>
      </w:r>
    </w:p>
    <w:p>
      <w:pPr>
        <w:spacing w:after="80"/>
      </w:pPr>
      <w:r>
        <w:rPr>
          <w:rFonts w:ascii="Malgun Gothic" w:cs="Malgun Gothic" w:eastAsia="Malgun Gothic" w:hAnsi="Malgun Gothic"/>
          <w:i w:val="false"/>
          <w:iCs w:val="false"/>
          <w:sz w:val="18"/>
          <w:szCs w:val="18"/>
        </w:rPr>
        <w:t xml:space="preserve">• flagged as an undercount-prone estimate that likely understates the true rate.</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pPr>
        <w:spacing w:after="80"/>
      </w:pPr>
      <w:r>
        <w:rPr>
          <w:rFonts w:ascii="Malgun Gothic" w:cs="Malgun Gothic" w:eastAsia="Malgun Gothic" w:hAnsi="Malgun Gothic"/>
          <w:i w:val="false"/>
          <w:iCs w:val="false"/>
          <w:sz w:val="18"/>
          <w:szCs w:val="18"/>
        </w:rPr>
        <w:t xml:space="preserve">• Zhang  2022 (Zhang 2022, NPCR+SEER/USCS, 2019). The text (Figure 2A) prints the</w:t>
      </w:r>
    </w:p>
    <w:p>
      <w:pPr>
        <w:spacing w:after="80"/>
      </w:pPr>
      <w:r>
        <w:rPr>
          <w:rFonts w:ascii="Malgun Gothic" w:cs="Malgun Gothic" w:eastAsia="Malgun Gothic" w:hAnsi="Malgun Gothic"/>
          <w:i w:val="false"/>
          <w:iCs w:val="false"/>
          <w:sz w:val="18"/>
          <w:szCs w:val="18"/>
        </w:rPr>
        <w:t xml:space="preserve">• 2019 age-adjusted triple-negative rates by race: NHB 25.0, NHW 12.8, Hispanic</w:t>
      </w:r>
    </w:p>
    <w:p>
      <w:pPr>
        <w:spacing w:after="80"/>
      </w:pPr>
      <w:r>
        <w:rPr>
          <w:rFonts w:ascii="Malgun Gothic" w:cs="Malgun Gothic" w:eastAsia="Malgun Gothic" w:hAnsi="Malgun Gothic"/>
          <w:i w:val="false"/>
          <w:iCs w:val="false"/>
          <w:sz w:val="18"/>
          <w:szCs w:val="18"/>
        </w:rPr>
        <w:t xml:space="preserve">• 11.5, AI/AN 9.4, AANHPI 9.5 per 100,000. IRR = rate/12.8 (NHB 1.95, Hispanic 0.90,</w:t>
      </w:r>
    </w:p>
    <w:p>
      <w:pPr>
        <w:spacing w:after="80"/>
      </w:pPr>
      <w:r>
        <w:rPr>
          <w:rFonts w:ascii="Malgun Gothic" w:cs="Malgun Gothic" w:eastAsia="Malgun Gothic" w:hAnsi="Malgun Gothic"/>
          <w:i w:val="false"/>
          <w:iCs w:val="false"/>
          <w:sz w:val="18"/>
          <w:szCs w:val="18"/>
        </w:rPr>
        <w:t xml:space="preserve">• AI/AN 0.73, AANHPI 0.74). Single-year 2019 cross-section; overlaps the USCS TNBC</w:t>
      </w:r>
    </w:p>
    <w:p>
      <w:pPr>
        <w:spacing w:after="80"/>
      </w:pPr>
      <w:r>
        <w:rPr>
          <w:rFonts w:ascii="Malgun Gothic" w:cs="Malgun Gothic" w:eastAsia="Malgun Gothic" w:hAnsi="Malgun Gothic"/>
          <w:i w:val="false"/>
          <w:iCs w:val="false"/>
          <w:sz w:val="18"/>
          <w:szCs w:val="18"/>
        </w:rPr>
        <w:t xml:space="preserve">•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2026-09-06T01:30:03.583Z</dcterms:created>
  <dcterms:modified xsi:type="dcterms:W3CDTF">2026-09-06T01:30:03.584Z</dcterms:modified>
</cp:coreProperties>
</file>

<file path=docProps/custom.xml><?xml version="1.0" encoding="utf-8"?>
<Properties xmlns="http://schemas.openxmlformats.org/officeDocument/2006/custom-properties" xmlns:vt="http://schemas.openxmlformats.org/officeDocument/2006/docPropsVTypes"/>
</file>