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166)</w:t>
      </w:r>
    </w:p>
    <w:p>
      <w:pPr>
        <w:spacing w:after="80"/>
      </w:pPr>
      <w:r>
        <w:rPr>
          <w:rFonts w:ascii="Malgun Gothic" w:cs="Malgun Gothic" w:eastAsia="Malgun Gothic" w:hAnsi="Malgun Gothic"/>
          <w:i/>
          <w:iCs/>
          <w:sz w:val="18"/>
          <w:szCs w:val="18"/>
        </w:rPr>
        <w:t xml:space="preserve">The 166 studies are all publications included in the systematic review; not all entered the quantitative synthesis. They are grouped below by how each contributed: 55 were eligible for quantitative synthesis and all provided extractable quantitative data that entered the analysis, and the remaining 111 contributed to the narrative synthesis only (166 = 55 + 111). Study design is classified from the data source; most included studies are population-based registry/incidence studies rather than cohort studies. A PMID (or DOI where no PMID exists) is given for every study so that each of the 166 included studies—including the 111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10</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(5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sole estimate in the cell); overlap for 10</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(5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111)</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Role in synthesis records, for each study, whether quantitative data were extractable and how the study was used, with the reason it was or was not selected as a cell representative: “Representative for N cell(s)” = supplied the main-analysis benchmark for N analytic cells (group × dimension), with the selection basis in parentheses (sole estimate in the cell, or best in the cell by coverage/recency/comparator); “overlap for M” = also contributed M overlapping estimates carried only in the sensitivity re-selection; “Overlap/sensitivity only” = every estimate overlapped a cell already represented by another study, followed by why it was not selected (superseded within its registry family by a broader-coverage or more-recent representative; an unlinked registry outranked by an IHS-linked source for AI/AN; an external out-of-paper NHW reference; or no usable rate ratio); “Narrative only” = met inclusion but contributed no quantitative estimate, with the reason given per study — no recoverable NHW comparison (most), a race–NHW breast IRR reported only as an annual trend (not a single poolable estimate), or a summary report re-reporting registry incidence already quantified from a dedicated primary study for the same registry and period. One representative is selected per analytic cell (selection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(mixed-effects model)</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The checklist was applied to each study by the author (a single assessor) with large-language-model assistance.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55 studies assessed, 44 were Low, 11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62 of 83 cells unchanged, 11 changed, 10 dropped. The changed and dropped cells were concentrated in the disaggregated AANHPI subgroups and the age-specific cells, whose representatives are computed estimates from moderate-risk-of-bias sources; the IHS-linked AI/AN representatives (aggregate, Navajo, Southern Plains, and Alaska Native) are unchanged because they are themselves low risk of bias, whereas the Northern Plains cell drops because its only estimate comes from unlinked state registries rated moderate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31 unchanged, 5 changed, 47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64 of 83 cells unchanged, 1 changed, 18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two age-specific Black cells; the single changed cell is Alaska Native, whose unstratified-White representative (Nash ANTR, 1.09) is replaced by the IHS-linked estimate reported against a non-Hispanic White reference (Melkonian, 1.25)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 Identified on the post-hoc screening audit.</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 post-hoc screening audit.</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(Feedback4 #4):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Standard not stated but NHW=146.9 implies 2000 US.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IRR = rate/146.1 with delta-method CI (e.g. Chinese 0.503, 0.490-0.516).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2026-09-11T10:16:50.941Z</dcterms:created>
  <dcterms:modified xsi:type="dcterms:W3CDTF">2026-09-11T10:16:50.941Z</dcterms:modified>
</cp:coreProperties>
</file>

<file path=docProps/custom.xml><?xml version="1.0" encoding="utf-8"?>
<Properties xmlns="http://schemas.openxmlformats.org/officeDocument/2006/custom-properties" xmlns:vt="http://schemas.openxmlformats.org/officeDocument/2006/docPropsVTypes"/>
</file>