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Main Text — Tables and Figures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with Quantitative Synthesis</w:t>
      </w:r>
    </w:p>
    <w:p>
      <w:pPr>
        <w:spacing w:after="100" w:before="200"/>
      </w:pPr>
      <w:r>
        <w:rPr>
          <w:rFonts w:ascii="Malgun Gothic" w:cs="Malgun Gothic" w:eastAsia="Malgun Gothic" w:hAnsi="Malgun Gothic"/>
          <w:b/>
          <w:bCs/>
          <w:color w:val="000000"/>
          <w:sz w:val="24"/>
          <w:szCs w:val="24"/>
        </w:rPr>
        <w:t xml:space="preserve">Table 1. Incidence rate ratios of invasive breast cancer among U.S. racial and ethnic groups relative to non-Hispanic White women, by analytic dimension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586"/>
        <w:gridCol w:w="3310"/>
        <w:gridCol w:w="3090"/>
        <w:gridCol w:w="2648"/>
        <w:gridCol w:w="1766"/>
      </w:tblGrid>
      <w:tr>
        <w:trPr>
          <w:tblHeader/>
        </w:trPr>
        <w:tc>
          <w:tcPr>
            <w:tcW w:type="dxa" w:w="358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310"/>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3090"/>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648"/>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766"/>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2005[6] (1988-2000)</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2007[55] (1998-2002)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2025[48] (2014-2018)</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2019[11] (2009-2014)</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2021[58] (2012-2016)</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2009[46] (1988-2004)</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2017[35] (2009-2013)</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Note. This table shows 38 of the 85 analytic cells, those covering the principal comparisons; the rest, chiefly the other receptor-defined subtypes and the age-specific comparisons, are in Supplementary Table 4. Each cell shows one representative population-based estimate — the most recent, broadest-coverage registry estimate per analytic cell — not a pooled estimate; the selection rule and its robustness are given in the Methods and Supplementary Table 6. Each representative study is followed by its number in the reference list. The effect measure is the incidence rate ratio (IRR) throughout; comparisons are versus non-Hispanic White (NHW) women. † the study's reference was an unstratified White group (not stratified by Hispanic origin), examined in the NHW-comparator sensitivity analysis (Supplementary Table 6c); 5 of the 19 cells so marked appear in this table. ‡ the 95% confidence interval was computed by the reviewers from published rates rather than reported in the source. NHB, non-Hispanic Black; AANHPI, Asian American, Native Hawaiian, and Pacific Islander (NHPI, the Pacific Islander subset, shown separately); RoB, risk-of-bias rating of the representative study. Full per-estimate detail is in the Supplementary Materials.</w:t>
      </w:r>
    </w:p>
    <w:p>
      <w:r>
        <w:br w:type="page"/>
      </w:r>
    </w:p>
    <w:p>
      <w:pPr>
        <w:sectPr>
          <w:pgSz w:w="15840" w:h="12240" w:orient="landscape"/>
          <w:pgMar w:top="720" w:right="720" w:bottom="720" w:left="720" w:header="708" w:footer="708" w:gutter="0"/>
          <w:pgNumType/>
          <w:docGrid w:linePitch="360"/>
        </w:sectPr>
      </w:pPr>
    </w:p>
    <w:p>
      <w:pPr>
        <w:spacing w:after="100" w:before="200"/>
      </w:pPr>
      <w:r>
        <w:rPr>
          <w:rFonts w:ascii="Malgun Gothic" w:cs="Malgun Gothic" w:eastAsia="Malgun Gothic" w:hAnsi="Malgun Gothic"/>
          <w:b/>
          <w:bCs/>
          <w:color w:val="000000"/>
          <w:sz w:val="24"/>
          <w:szCs w:val="24"/>
        </w:rPr>
        <w:t xml:space="preserve">Figure 1. PRISMA 2020 flow diagram</w:t>
      </w:r>
    </w:p>
    <w:p>
      <w:pPr>
        <w:jc w:val="center"/>
      </w:pPr>
      <w:r>
        <w:drawing>
          <wp:inline distT="0" distB="0" distL="0" distR="0">
            <wp:extent cx="6038850" cy="631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038850" cy="6315075"/>
                    </a:xfrm>
                    <a:prstGeom prst="rect">
                      <a:avLst/>
                    </a:prstGeom>
                  </pic:spPr>
                </pic:pic>
              </a:graphicData>
            </a:graphic>
          </wp:inline>
        </w:drawing>
      </w:r>
    </w:p>
    <w:p>
      <w:pPr>
        <w:spacing w:after="80"/>
      </w:pPr>
    </w:p>
    <w:p>
      <w:r>
        <w:br w:type="page"/>
      </w:r>
    </w:p>
    <w:p>
      <w:pPr>
        <w:spacing w:after="100" w:before="200"/>
      </w:pPr>
      <w:r>
        <w:rPr>
          <w:rFonts w:ascii="Malgun Gothic" w:cs="Malgun Gothic" w:eastAsia="Malgun Gothic" w:hAnsi="Malgun Gothic"/>
          <w:b/>
          <w:bCs/>
          <w:color w:val="000000"/>
          <w:sz w:val="24"/>
          <w:szCs w:val="24"/>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pPr>
        <w:jc w:val="center"/>
      </w:pPr>
      <w:r>
        <w:drawing>
          <wp:inline distT="0" distB="0" distL="0" distR="0">
            <wp:extent cx="5353050" cy="685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53050" cy="6858000"/>
                    </a:xfrm>
                    <a:prstGeom prst="rect">
                      <a:avLst/>
                    </a:prstGeom>
                  </pic:spPr>
                </pic:pic>
              </a:graphicData>
            </a:graphic>
          </wp:inline>
        </w:drawing>
      </w:r>
    </w:p>
    <w:p>
      <w:pPr>
        <w:spacing w:after="80"/>
      </w:pPr>
    </w:p>
    <w:p>
      <w:pPr>
        <w:spacing w:after="80"/>
      </w:pPr>
      <w:r>
        <w:rPr>
          <w:rFonts w:ascii="Malgun Gothic" w:cs="Malgun Gothic" w:eastAsia="Malgun Gothic" w:hAnsi="Malgun Gothic"/>
          <w:i/>
          <w:iCs/>
          <w:sz w:val="18"/>
          <w:szCs w:val="18"/>
        </w:rPr>
        <w:t xml:space="preserve">Note. Each point is the representative estimate for one analytic cell, drawn from a separate study; an aggregate and its subgroups differ in registry, region, diagnosis period, and standard population. Diamonds mark aggregate groups, circles subgroups. A solid bar is a 95% CI reported in the source; a dashed bar marked ‡ is one computed for this review; a point without a bar had no interval in its source. † reference was an unstratified White group, not NHW. Values match Table 1.</w:t>
      </w:r>
    </w:p>
    <w:p>
      <w:r>
        <w:br w:type="page"/>
      </w:r>
    </w:p>
    <w:p>
      <w:pPr>
        <w:spacing w:after="100" w:before="200"/>
      </w:pPr>
      <w:r>
        <w:rPr>
          <w:rFonts w:ascii="Malgun Gothic" w:cs="Malgun Gothic" w:eastAsia="Malgun Gothic" w:hAnsi="Malgun Gothic"/>
          <w:b/>
          <w:bCs/>
          <w:color w:val="000000"/>
          <w:sz w:val="24"/>
          <w:szCs w:val="24"/>
        </w:rPr>
        <w:t xml:space="preserve">Figure 3. Incidence rate ratio by racial or ethnic group and analytic dimension (representative estimate vs non-Hispanic White; 1.0 = the NHW rate)</w:t>
      </w:r>
    </w:p>
    <w:p>
      <w:pPr>
        <w:jc w:val="center"/>
      </w:pPr>
      <w:r>
        <w:drawing>
          <wp:inline distT="0" distB="0" distL="0" distR="0">
            <wp:extent cx="603885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38850" cy="3409950"/>
                    </a:xfrm>
                    <a:prstGeom prst="rect">
                      <a:avLst/>
                    </a:prstGeom>
                  </pic:spPr>
                </pic:pic>
              </a:graphicData>
            </a:graphic>
          </wp:inline>
        </w:drawing>
      </w:r>
    </w:p>
    <w:p>
      <w:pPr>
        <w:spacing w:after="80"/>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844b72922f9485eeea49c44f787cbcd5e714932.png"/><Relationship Id="rId8" Type="http://schemas.openxmlformats.org/officeDocument/2006/relationships/image" Target="media/dae87b3c7f6f13da2ab6e36de81e09997ee0418a.png"/><Relationship Id="rId9" Type="http://schemas.openxmlformats.org/officeDocument/2006/relationships/image" Target="media/22b4b37654dea15c714d94268b774c4d08359a9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2026-09-23T10:48:30.555Z</dcterms:created>
  <dcterms:modified xsi:type="dcterms:W3CDTF">2026-09-23T10:48:30.555Z</dcterms:modified>
</cp:coreProperties>
</file>

<file path=docProps/custom.xml><?xml version="1.0" encoding="utf-8"?>
<Properties xmlns="http://schemas.openxmlformats.org/officeDocument/2006/custom-properties" xmlns:vt="http://schemas.openxmlformats.org/officeDocument/2006/docPropsVTypes"/>
</file>