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Main Text — Tables and Figures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720" w:right="720" w:bottom="720" w:left="720" w:header="708" w:footer="708" w:gutter="0"/>
          <w:pgNumType/>
          <w:docGrid w:linePitch="360"/>
        </w:sectPr>
      </w:pPr>
    </w:p>
    <w:p>
      <w:pPr>
        <w:spacing w:after="100" w:before="200"/>
      </w:pPr>
      <w:r>
        <w:rPr>
          <w:rFonts w:ascii="Malgun Gothic" w:cs="Malgun Gothic" w:eastAsia="Malgun Gothic" w:hAnsi="Malgun Gothic"/>
          <w:b/>
          <w:bCs/>
          <w:color w:val="000000"/>
          <w:sz w:val="24"/>
          <w:szCs w:val="24"/>
        </w:rPr>
        <w:t xml:space="preserve">Figure 1. PRISMA 2020 flow diagram</w:t>
      </w:r>
    </w:p>
    <w:p>
      <w:pPr>
        <w:jc w:val="center"/>
      </w:pPr>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pPr>
        <w:spacing w:after="80"/>
      </w:pPr>
    </w:p>
    <w:p>
      <w:r>
        <w:br w:type="page"/>
      </w:r>
    </w:p>
    <w:p>
      <w:pPr>
        <w:spacing w:after="100" w:before="200"/>
      </w:pPr>
      <w:r>
        <w:rPr>
          <w:rFonts w:ascii="Malgun Gothic" w:cs="Malgun Gothic" w:eastAsia="Malgun Gothic" w:hAnsi="Malgun Gothic"/>
          <w:b/>
          <w:bCs/>
          <w:color w:val="000000"/>
          <w:sz w:val="24"/>
          <w:szCs w:val="24"/>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pPr>
        <w:jc w:val="center"/>
      </w:pPr>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80"/>
      </w:pPr>
    </w:p>
    <w:p>
      <w:pPr>
        <w:spacing w:after="80"/>
      </w:pPr>
      <w:r>
        <w:rPr>
          <w:rFonts w:ascii="Malgun Gothic" w:cs="Malgun Gothic" w:eastAsia="Malgun Gothic" w:hAnsi="Malgun Gothic"/>
          <w:i/>
          <w:iCs/>
          <w:sz w:val="18"/>
          <w:szCs w:val="18"/>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200"/>
      </w:pPr>
      <w:r>
        <w:rPr>
          <w:rFonts w:ascii="Malgun Gothic" w:cs="Malgun Gothic" w:eastAsia="Malgun Gothic" w:hAnsi="Malgun Gothic"/>
          <w:b/>
          <w:bCs/>
          <w:color w:val="000000"/>
          <w:sz w:val="24"/>
          <w:szCs w:val="24"/>
        </w:rPr>
        <w:t xml:space="preserve">Figure 3. Incidence rate ratio by racial or ethnic group and analytic dimension (representative estimate vs non-Hispanic White; 1.0 = the NHW rate)</w:t>
      </w:r>
    </w:p>
    <w:p>
      <w:pPr>
        <w:jc w:val="center"/>
      </w:pPr>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2026-09-23T10:28:17.755Z</dcterms:created>
  <dcterms:modified xsi:type="dcterms:W3CDTF">2026-09-23T10:28:17.755Z</dcterms:modified>
</cp:coreProperties>
</file>

<file path=docProps/custom.xml><?xml version="1.0" encoding="utf-8"?>
<Properties xmlns="http://schemas.openxmlformats.org/officeDocument/2006/custom-properties" xmlns:vt="http://schemas.openxmlformats.org/officeDocument/2006/docPropsVTypes"/>
</file>