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the excluded set. To guard against false negatives, the entire model-excluded set was re-screened rather than sampled. Each excluded record was re-read at the title and abstract; and every record that mentioned breast cancer and carried any signal of U.S. population-based incidence by race or ethnicity—an age-standardized or age-adjusted rate, an incidence rate ratio or standardized incidence ratio, and a minority-versus-White comparison within a U.S. registry—was additionally reviewed against its full abstract, so that a comparison reported only in the results would not be missed through a truncated record. This exhaustive re-screen recovered a small number of wrongly excluded population-based reports that tabulated race-specific incidence—added to the quantitative synthesis as single-state, regional, or disaggregated-subgroup overlaps, none of which displaced a national cell representative—and identified no further eligible studies. Every model decision the author accepted or overturned was recorded, and the records checked with the reasons retained are given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e1e9080ff04ad1e7d200d5c9a0b24b58a80999.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2026-09-15T08:40:23.310Z</dcterms:created>
  <dcterms:modified xsi:type="dcterms:W3CDTF">2026-09-15T08:40:23.310Z</dcterms:modified>
</cp:coreProperties>
</file>

<file path=docProps/custom.xml><?xml version="1.0" encoding="utf-8"?>
<Properties xmlns="http://schemas.openxmlformats.org/officeDocument/2006/custom-properties" xmlns:vt="http://schemas.openxmlformats.org/officeDocument/2006/docPropsVTypes"/>
</file>