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</w:pPr>
      <w:r>
        <w:rPr>
          <w:rFonts w:ascii="Malgun Gothic" w:cs="Malgun Gothic" w:eastAsia="Malgun Gothic" w:hAnsi="Malgun Gothic"/>
          <w:b/>
          <w:bCs/>
          <w:sz w:val="34"/>
          <w:szCs w:val="34"/>
        </w:rPr>
        <w:t xml:space="preserve">Main Text — Tables and Figures</w:t>
      </w:r>
    </w:p>
    <w:p>
      <w:pPr>
        <w:spacing w:after="200"/>
      </w:pPr>
      <w:r>
        <w:rPr>
          <w:rFonts w:ascii="Malgun Gothic" w:cs="Malgun Gothic" w:eastAsia="Malgun Gothic" w:hAnsi="Malgun Gothic"/>
          <w:i/>
          <w:iCs/>
          <w:sz w:val="20"/>
          <w:szCs w:val="20"/>
        </w:rPr>
        <w:t xml:space="preserve">Racial and Ethnic Differences in Breast Cancer Incidence in the United States: A Systematic Review and Meta-Analysis</w:t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Table 1. Incidence rate ratios of invasive breast cancer among U.S. racial and ethnic groups relative to non-Hispanic White women, by analytic dimension</w:t>
      </w: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One representative estimate per group (one estimate per registry family). Effect measure is the incidence rate ratio (IRR) unless noted as a standardized incidence ratio (SIR). Comparisons are versus non-Hispanic White (NHW) women, except where marked † — the reference in that study was an unstratified White group (not stratified by Hispanic origin), which may raise the IRR slightly; these estimates are examined in the NHW-comparator sensitivity analysis (Supplementary Table 9c). Black denotes non-Hispanic Black (NHB), and the Asian/Pacific Islander aggregate is labeled AANHPI (Asian American, Native Hawaiian, and Pacific Islander), with the Pacific-Islander subset shown separately as NHPI. RoB = Newcastle-Ottawa rating of the representative study; GRADE = certainty of evidence. Full per-estimate detail, including each study's comparator and standard population, is in the Supplementary Materials.</w:t>
      </w:r>
    </w:p>
    <w:tbl>
      <w:tblPr>
        <w:tblW w:type="dxa" w:w="14400"/>
        <w:tblBorders>
          <w:top w:val="single" w:color="BBBBBB" w:sz="3"/>
          <w:left w:val="single" w:color="BBBBBB" w:sz="3"/>
          <w:bottom w:val="single" w:color="BBBBBB" w:sz="3"/>
          <w:right w:val="single" w:color="BBBBBB" w:sz="3"/>
          <w:insideH w:val="single" w:color="BBBBBB" w:sz="3"/>
          <w:insideV w:val="single" w:color="BBBBBB" w:sz="3"/>
        </w:tblBorders>
      </w:tblPr>
      <w:tblGrid>
        <w:gridCol w:w="3116"/>
        <w:gridCol w:w="1021"/>
        <w:gridCol w:w="2901"/>
        <w:gridCol w:w="2687"/>
        <w:gridCol w:w="2257"/>
        <w:gridCol w:w="1236"/>
        <w:gridCol w:w="1182"/>
      </w:tblGrid>
      <w:tr>
        <w:trPr>
          <w:tblHeader/>
        </w:trPr>
        <w:tc>
          <w:tcPr>
            <w:tcW w:type="dxa" w:w="311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Group</w:t>
            </w:r>
          </w:p>
        </w:tc>
        <w:tc>
          <w:tcPr>
            <w:tcW w:type="dxa" w:w="102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Effect</w:t>
            </w:r>
          </w:p>
        </w:tc>
        <w:tc>
          <w:tcPr>
            <w:tcW w:type="dxa" w:w="2901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Estimate [95% CI]</w:t>
            </w:r>
          </w:p>
        </w:tc>
        <w:tc>
          <w:tcPr>
            <w:tcW w:type="dxa" w:w="268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Representative study</w:t>
            </w:r>
          </w:p>
        </w:tc>
        <w:tc>
          <w:tcPr>
            <w:tcW w:type="dxa" w:w="2257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Registry family</w:t>
            </w:r>
          </w:p>
        </w:tc>
        <w:tc>
          <w:tcPr>
            <w:tcW w:type="dxa" w:w="1236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RoB</w:t>
            </w:r>
          </w:p>
        </w:tc>
        <w:tc>
          <w:tcPr>
            <w:tcW w:type="dxa" w:w="1182"/>
            <w:shd w:fill="E7EEF6" w:color="auto" w:val="clear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5"/>
                <w:szCs w:val="15"/>
              </w:rPr>
              <w:t xml:space="preserve">GRADE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Overall invasive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0.560 [0.550, 0.570]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Gopalani 2020 (1999-2015)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0.718 [0.707, 0.731]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0.769 [0.752, 0.788]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0.933 [0.920, 0.946]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Ellington 2022 (2018)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Asian American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Hmong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0.164 [0.120, 0.224]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Mills 2005 (Hmong 1988-2000 / NHW 1995-1999)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High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Cambodian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0.264 [0.204, 0.341]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Kem 2007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Laotian/Kampuchean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0.388 [0.350, 0.430]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Vietnamese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0.586 [0.566, 0.608]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Korean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0.677 [0.654, 0.701]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0.760 [0.745, 0.775]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Filipina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0.857 [0.839, 0.874]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Indian/Pakistani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0.958 [0.937, 0.979]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Japanese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1.045 [1.009, 1.083]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0.792 [0.784, 0.800]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Native Hawaiian and Pacific Islander (NHPI) subgroups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Guamanian/Chamorro/Samoan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0.723 [0.641, 0.817]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1.211 [1.123, 1.305]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Miller 2008 (1998-2002)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 and Pacific Islander (NHPI)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1.212 [1.168, 1.258]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2026 (2018-2022)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SEER-national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Hispanic/Latina by country of origin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Mexican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0.503 [0.376, 0.673]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New Latino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0.684 [0.619, 0.756]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Cuban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0.755 [0.677, 0.842]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Puerto Rican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0.817 [0.726, 0.920]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Pinheiro 2009 (1999-2001)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State: Florida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Hispanic/Latina (aggregate)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SIR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0.64 (point est.)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Carozza 2006 (1995-2000)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NAACCR/CiNA (~93%)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Very 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American Indian and Alaska Native (AI/AN) by region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(Navajo)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0.49 [0.44, 0.55]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Yazzie 2025 (2014-2018)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Moderate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(Southern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1.25 [1.11,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AI/AN (Northern Plains)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1.33 [1.26, 1.41]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Melkonian 2021 (2012-2016)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IHS-PRCDA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Middle Eastern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Middle Eastern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[0.84, 0.88]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Nasseri 2009 (1988-2004)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Triple-negative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Chinese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0.53 [0.39, 0.71] †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Asian-American combined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0.61 [0.58, 0.65]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Gomez 2017 (2009-2013)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California-CCR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Asian American, Native Hawaiian, and Pacific Islander (AANHPI)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0.700 [0.680, 0.720]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Filipino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0.84 [0.8, 0.88] †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American Indian and Alaska Native (AI/AN)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[0.800, 0.930]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Hispanic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0.860 [0.840, 0.880]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Native Hawaiian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0.86 [0.79, 0.91] †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Loo 2019 (2000-2016)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Hawaii Tumor Registry (SEER)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non-Hispanic Black (NHB)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1.950 [1.930, 1.980]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2023 (2015-2019)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  <w:tr>
        <w:tc>
          <w:tcPr>
            <w:tcW w:type="dxa" w:w="14400"/>
            <w:gridSpan w:val="7"/>
            <w:shd w:fill="D9E2EF" w:color="auto" w:val="clear"/>
            <w:tcMar>
              <w:top w:type="dxa" w:w="30"/>
              <w:left w:type="dxa" w:w="70"/>
              <w:bottom w:type="dxa" w:w="30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/>
                <w:bCs/>
                <w:sz w:val="16"/>
                <w:szCs w:val="16"/>
              </w:rPr>
              <w:t xml:space="preserve">Male breast cancer</w:t>
            </w:r>
          </w:p>
        </w:tc>
      </w:tr>
      <w:tr>
        <w:tc>
          <w:tcPr>
            <w:tcW w:type="dxa" w:w="311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Black (men)</w:t>
            </w:r>
          </w:p>
        </w:tc>
        <w:tc>
          <w:tcPr>
            <w:tcW w:type="dxa" w:w="102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IRR</w:t>
            </w:r>
          </w:p>
        </w:tc>
        <w:tc>
          <w:tcPr>
            <w:tcW w:type="dxa" w:w="2901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1.52 [1.44, 1.6] †</w:t>
            </w:r>
          </w:p>
        </w:tc>
        <w:tc>
          <w:tcPr>
            <w:tcW w:type="dxa" w:w="268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Sung 2020 (2011-2015)</w:t>
            </w:r>
          </w:p>
        </w:tc>
        <w:tc>
          <w:tcPr>
            <w:tcW w:type="dxa" w:w="2257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USCS(NPCR+SEER ~99%)</w:t>
            </w:r>
          </w:p>
        </w:tc>
        <w:tc>
          <w:tcPr>
            <w:tcW w:type="dxa" w:w="1236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Good</w:t>
            </w:r>
          </w:p>
        </w:tc>
        <w:tc>
          <w:tcPr>
            <w:tcW w:type="dxa" w:w="1182"/>
            <w:tcMar>
              <w:top w:type="dxa" w:w="25"/>
              <w:left w:type="dxa" w:w="70"/>
              <w:bottom w:type="dxa" w:w="25"/>
              <w:right w:type="dxa" w:w="70"/>
            </w:tcMar>
          </w:tcPr>
          <w:p>
            <w:r>
              <w:rPr>
                <w:rFonts w:ascii="Malgun Gothic" w:cs="Malgun Gothic" w:eastAsia="Malgun Gothic" w:hAnsi="Malgun Gothic"/>
                <w:b w:val="false"/>
                <w:bCs w:val="false"/>
                <w:sz w:val="15"/>
                <w:szCs w:val="15"/>
              </w:rPr>
              <w:t xml:space="preserve">Low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ectPr>
          <w:pgSz w:w="15840" w:h="12240" w:orient="landscape"/>
          <w:pgMar w:top="720" w:right="720" w:bottom="720" w:left="720" w:header="708" w:footer="708" w:gutter="0"/>
          <w:pgNumType/>
          <w:docGrid w:linePitch="360"/>
        </w:sectPr>
      </w:pP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1. PRISMA 2020 flow diagram</w:t>
      </w:r>
    </w:p>
    <w:p>
      <w:pPr>
        <w:jc w:val="center"/>
      </w:pPr>
      <w:r>
        <w:drawing>
          <wp:inline distT="0" distB="0" distL="0" distR="0">
            <wp:extent cx="6477000" cy="5505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0" cy="550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2. Disaggregated Asian American / Native Hawaiian and Pacific Islander subgroups versus the aggregate (IRR vs non-Hispanic White)</w:t>
      </w:r>
    </w:p>
    <w:p>
      <w:pPr>
        <w:jc w:val="center"/>
      </w:pPr>
      <w:r>
        <w:drawing>
          <wp:inline distT="0" distB="0" distL="0" distR="0">
            <wp:extent cx="6858000" cy="4667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667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p>
      <w:pPr>
        <w:spacing w:after="80"/>
      </w:pPr>
      <w:r>
        <w:rPr>
          <w:rFonts w:ascii="Malgun Gothic" w:cs="Malgun Gothic" w:eastAsia="Malgun Gothic" w:hAnsi="Malgun Gothic"/>
          <w:i/>
          <w:iCs/>
          <w:sz w:val="18"/>
          <w:szCs w:val="18"/>
        </w:rPr>
        <w:t xml:space="preserve">Comparisons are versus non-Hispanic White women, except the Asian Indian/Pakistani estimate, which is a standardized incidence ratio against an unstratified White reference (Supplementary Table 4).</w:t>
      </w:r>
    </w:p>
    <w:p>
      <w:r>
        <w:br w:type="page"/>
      </w:r>
    </w:p>
    <w:p>
      <w:pPr>
        <w:pStyle w:val="Heading1"/>
        <w:spacing w:after="100" w:before="200"/>
      </w:pPr>
      <w:r>
        <w:rPr>
          <w:rFonts w:ascii="Malgun Gothic" w:cs="Malgun Gothic" w:eastAsia="Malgun Gothic" w:hAnsi="Malgun Gothic"/>
          <w:b/>
          <w:bCs/>
          <w:sz w:val="24"/>
          <w:szCs w:val="24"/>
        </w:rPr>
        <w:t xml:space="preserve">Figure 3. Aggregate racial and ethnic groups, Hispanic origin, American Indian / Alaska Native region, and Middle Eastern populations (IRR vs non-Hispanic White)</w:t>
      </w:r>
    </w:p>
    <w:p>
      <w:pPr>
        <w:jc w:val="center"/>
      </w:pPr>
      <w:r>
        <w:drawing>
          <wp:inline distT="0" distB="0" distL="0" distR="0">
            <wp:extent cx="6858000" cy="4476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80"/>
      </w:pP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cs="Malgun Gothic" w:eastAsia="Malgun Gothic" w:hAnsi="Malgun Gothic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45a5503ae949d8247c0463903e91a29661d9f87b.png"/><Relationship Id="rId8" Type="http://schemas.openxmlformats.org/officeDocument/2006/relationships/image" Target="media/8aaf9f9a150f69bdd52602b8afddb98728e423ba.png"/><Relationship Id="rId9" Type="http://schemas.openxmlformats.org/officeDocument/2006/relationships/image" Target="media/78150a6cbd68807f0f944741267edd5852a27b81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2026-08-17T23:23:47.013Z</dcterms:created>
  <dcterms:modified xsi:type="dcterms:W3CDTF">2026-08-17T23:23:47.014Z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