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55 of 73 cells unchanged, 8 changed, 10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6 changed, 32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73 cells unchanged, 0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six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API 9.5 per 100,000. IRR = rate/12.8 (NHB 1.95, Hispanic 0.90,</w:t>
      </w:r>
    </w:p>
    <w:p>
      <w:pPr>
        <w:spacing w:after="80"/>
      </w:pPr>
      <w:r>
        <w:rPr>
          <w:rFonts w:ascii="Malgun Gothic" w:cs="Malgun Gothic" w:eastAsia="Malgun Gothic" w:hAnsi="Malgun Gothic"/>
          <w:i w:val="false"/>
          <w:iCs w:val="false"/>
          <w:sz w:val="18"/>
          <w:szCs w:val="18"/>
        </w:rPr>
        <w:t xml:space="preserve">• AI/AN 0.73, API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2026-09-03T09:08:51.369Z</dcterms:created>
  <dcterms:modified xsi:type="dcterms:W3CDTF">2026-09-03T09:08:51.369Z</dcterms:modified>
</cp:coreProperties>
</file>

<file path=docProps/custom.xml><?xml version="1.0" encoding="utf-8"?>
<Properties xmlns="http://schemas.openxmlformats.org/officeDocument/2006/custom-properties" xmlns:vt="http://schemas.openxmlformats.org/officeDocument/2006/docPropsVTypes"/>
</file>