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estimates standardized to the 2000 U.S. standard population left 81 of 83 unchanged and dropped none, with only two Black receptor-subtype cells changing—each from a representative standardized to the 1960 Segi world standard to a 2000 U.S.–standardized estimate in the same direction (hormone-receptor-negative 1.80 to 1.60, hormone-receptor-positive 0.82 to 0.70).</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four sensitivity analyses the main pattern held: few cells changed representative on restriction (11 under the low-risk-of-bias restriction, 5 under the directly-reported restriction, 1 under the NHW-comparator restriction, and 2 under the 2000 U.S. standard-population restriction), and most of the differences were cells dropped for lack of a qualifying estimate rather than cells that disagreed. Standard-population heterogeneity was minor: 81 of 83 representatives were already on the 2000 U.S. standard, and restricting to it dropped no cell and changed only two Black receptor-subtype cells, in the same direction.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2026-09-12T09:24:35.170Z</dcterms:created>
  <dcterms:modified xsi:type="dcterms:W3CDTF">2026-09-12T09:24:35.171Z</dcterms:modified>
</cp:coreProperties>
</file>

<file path=docProps/custom.xml><?xml version="1.0" encoding="utf-8"?>
<Properties xmlns="http://schemas.openxmlformats.org/officeDocument/2006/custom-properties" xmlns:vt="http://schemas.openxmlformats.org/officeDocument/2006/docPropsVTypes"/>
</file>