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2D1B69"/>
          <w:sz w:val="52"/>
        </w:rPr>
        <w:t>Fractions and Decimals | Grade 7 Math</w:t>
      </w:r>
    </w:p>
    <w:p>
      <w:pPr>
        <w:spacing w:after="480"/>
        <w:jc w:val="center"/>
      </w:pPr>
      <w:r>
        <w:rPr>
          <w:rFonts w:ascii="Calibri" w:hAnsi="Calibri"/>
          <w:i/>
          <w:color w:val="64648C"/>
          <w:sz w:val="28"/>
        </w:rPr>
        <w:t>Product Requirements Document (PRD) &amp; Technical Requirements Document (TRD)</w:t>
        <w:br/>
        <w:t>Intellia SG • Global Mathematics Curriculum Series</w:t>
      </w:r>
    </w:p>
    <w:p>
      <w:pPr>
        <w:keepNext/>
        <w:spacing w:before="360" w:after="160"/>
      </w:pPr>
      <w:r>
        <w:rPr>
          <w:rFonts w:ascii="Calibri" w:hAnsi="Calibri"/>
          <w:b/>
          <w:color w:val="2D1B69"/>
          <w:sz w:val="36"/>
        </w:rPr>
        <w:t>PART 1: PRODUCT REQUIREMENTS DOCUMENT (PRD)</w:t>
      </w: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1. Executive Summary &amp; Product Vision</w:t>
      </w:r>
    </w:p>
    <w:p>
      <w:pPr>
        <w:spacing w:after="120" w:line="276" w:lineRule="auto"/>
      </w:pPr>
      <w:r>
        <w:rPr>
          <w:i w:val="0"/>
        </w:rPr>
        <w:t>This document defines the comprehensive product requirements for 'Fractions &amp; Decimals Expedition', an interactive, gamified, simulation-based web application module designed for Grade 7 learners (ages 12–13). Building on basic fraction and decimal literacy from primary grades, this module equips middle-school students with mastery over fraction-decimal conversions, rational number comparisons, all arithmetic operations (+, −, ×, ÷), distinguishing terminating vs. recurring decimals, precision rounding/significant figures, and multi-step real-world problem solving.</w:t>
      </w:r>
    </w:p>
    <w:p>
      <w:pPr>
        <w:spacing w:after="120" w:line="276" w:lineRule="auto"/>
      </w:pPr>
      <w:r>
        <w:rPr>
          <w:i w:val="0"/>
        </w:rPr>
        <w:t>The module strictly adheres to Intellia's proven 6-phase learner journey (INTRO → WONDER → STORY → SIMULATE → PLAY → REFLECT) and adopts a sophisticated, mature aesthetic suitable for teenagers.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D1B69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2D1B69"/>
              </w:rPr>
              <w:t xml:space="preserve">PEDAGOGICAL DIRECTIVE: </w:t>
            </w:r>
            <w:r>
              <w:rPr>
                <w:i/>
              </w:rPr>
              <w:t>Grade 7 Target Tone: Designed specifically for 12–13 year olds, avoiding childish visuals. Uses crisp futuristic glassmorphism, sleek data displays, and real-world engineering contexts.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2. Global Curriculum Cross-Mapping</w:t>
      </w:r>
    </w:p>
    <w:p>
      <w:pPr>
        <w:spacing w:after="120" w:line="276" w:lineRule="auto"/>
      </w:pPr>
      <w:r>
        <w:rPr>
          <w:i w:val="0"/>
        </w:rPr>
        <w:t>The module provides 100% curriculum coverage across major international education frameworks: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D1B69"/>
          </w:tcPr>
          <w:p>
            <w:pPr>
              <w:jc w:val="left"/>
            </w:pPr>
            <w:r>
              <w:rPr>
                <w:b/>
                <w:color w:val="FFFFFF"/>
              </w:rPr>
              <w:t>Curriculum Standard</w:t>
            </w:r>
          </w:p>
        </w:tc>
        <w:tc>
          <w:tcPr>
            <w:tcW w:type="dxa" w:w="3120"/>
            <w:shd w:fill="2D1B69"/>
          </w:tcPr>
          <w:p>
            <w:pPr>
              <w:jc w:val="left"/>
            </w:pPr>
            <w:r>
              <w:rPr>
                <w:b/>
                <w:color w:val="FFFFFF"/>
              </w:rPr>
              <w:t>Code / Reference</w:t>
            </w:r>
          </w:p>
        </w:tc>
        <w:tc>
          <w:tcPr>
            <w:tcW w:type="dxa" w:w="3120"/>
            <w:shd w:fill="2D1B69"/>
          </w:tcPr>
          <w:p>
            <w:pPr>
              <w:jc w:val="left"/>
            </w:pPr>
            <w:r>
              <w:rPr>
                <w:b/>
                <w:color w:val="FFFFFF"/>
              </w:rPr>
              <w:t>Learning Objective Focus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t>Common Core (US)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7.NS.A.2, 7.NS.A.3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Convert rational numbers to decimals using long division; know terminating vs. recurring; apply operations.</w:t>
            </w:r>
          </w:p>
        </w:tc>
      </w:tr>
      <w:tr>
        <w:tc>
          <w:tcPr>
            <w:tcW w:type="dxa" w:w="3120"/>
            <w:shd w:fill="F0F4F8"/>
          </w:tcPr>
          <w:p>
            <w:pPr>
              <w:spacing w:after="40"/>
            </w:pPr>
            <w:r>
              <w:t>Singapore Math</w:t>
            </w:r>
          </w:p>
        </w:tc>
        <w:tc>
          <w:tcPr>
            <w:tcW w:type="dxa" w:w="3120"/>
            <w:shd w:fill="F0F4F8"/>
          </w:tcPr>
          <w:p>
            <w:pPr>
              <w:spacing w:after="40"/>
            </w:pPr>
            <w:r>
              <w:t>Sec 1 G3 / Pri 6</w:t>
            </w:r>
          </w:p>
        </w:tc>
        <w:tc>
          <w:tcPr>
            <w:tcW w:type="dxa" w:w="3120"/>
            <w:shd w:fill="F0F4F8"/>
          </w:tcPr>
          <w:p>
            <w:pPr>
              <w:spacing w:after="40"/>
            </w:pPr>
            <w:r>
              <w:t>Fractions and decimals operations, recurring decimal notation, rounding to 3 sig figs, real-world context.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t>UK National Curriculum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KS3 Mathematics Year 7-8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Order positive/negative fractions &amp; decimals, convert recurring decimals, rounding to decimal places &amp; sig figs.</w:t>
            </w:r>
          </w:p>
        </w:tc>
      </w:tr>
      <w:tr>
        <w:tc>
          <w:tcPr>
            <w:tcW w:type="dxa" w:w="3120"/>
            <w:shd w:fill="F0F4F8"/>
          </w:tcPr>
          <w:p>
            <w:pPr>
              <w:spacing w:after="40"/>
            </w:pPr>
            <w:r>
              <w:t>Australian Curriculum</w:t>
            </w:r>
          </w:p>
        </w:tc>
        <w:tc>
          <w:tcPr>
            <w:tcW w:type="dxa" w:w="3120"/>
            <w:shd w:fill="F0F4F8"/>
          </w:tcPr>
          <w:p>
            <w:pPr>
              <w:spacing w:after="40"/>
            </w:pPr>
            <w:r>
              <w:t>AC9M7N03, AC9M7N04</w:t>
            </w:r>
          </w:p>
        </w:tc>
        <w:tc>
          <w:tcPr>
            <w:tcW w:type="dxa" w:w="3120"/>
            <w:shd w:fill="F0F4F8"/>
          </w:tcPr>
          <w:p>
            <w:pPr>
              <w:spacing w:after="40"/>
            </w:pPr>
            <w:r>
              <w:t>Compare and order rational numbers, multiply/divide fractions &amp; decimals, solve percentage/financial problems.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t>CBSE / ICSE (India)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Class 7 Chapter 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Fractions and Decimals: multiplication and division of decimal numbers, word problems, fraction conversions.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3. Pedagogical Concrete → Pictorial → Abstract (CPA) Progression</w:t>
      </w:r>
    </w:p>
    <w:p>
      <w:pPr>
        <w:pStyle w:val="ListBullet"/>
        <w:spacing w:after="80" w:line="276" w:lineRule="auto"/>
      </w:pPr>
      <w:r>
        <w:rPr>
          <w:b/>
        </w:rPr>
        <w:t xml:space="preserve">1. </w:t>
      </w:r>
      <w:r>
        <w:t>Concrete Stage: Interactive number line splitters, decimal place-value sliders, grid shaded regions, and visual fraction bars.</w:t>
      </w:r>
    </w:p>
    <w:p>
      <w:pPr>
        <w:pStyle w:val="ListBullet"/>
        <w:spacing w:after="80" w:line="276" w:lineRule="auto"/>
      </w:pPr>
      <w:r>
        <w:rPr>
          <w:b/>
        </w:rPr>
        <w:t xml:space="preserve">2. </w:t>
      </w:r>
      <w:r>
        <w:t>Pictorial Stage: Dual-scale number line representations comparing 1/3 to 0.333..., area model representations of fraction multiplication, and decimal placement diagrams.</w:t>
      </w:r>
    </w:p>
    <w:p>
      <w:pPr>
        <w:pStyle w:val="ListBullet"/>
        <w:spacing w:after="80" w:line="276" w:lineRule="auto"/>
      </w:pPr>
      <w:r>
        <w:rPr>
          <w:b/>
        </w:rPr>
        <w:t xml:space="preserve">3. </w:t>
      </w:r>
      <w:r>
        <w:t>Abstract Stage: Long division conversion algorithm, recurring decimal bar notation (0.3̄), fraction division via reciprocal multiplication, and rounding to specified significant figures.</w:t>
      </w: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4. Story-World Themes (Age 12–13 Tone)</w:t>
      </w:r>
    </w:p>
    <w:p>
      <w:pPr>
        <w:spacing w:after="120" w:line="276" w:lineRule="auto"/>
      </w:pPr>
      <w:r>
        <w:rPr>
          <w:i w:val="0"/>
        </w:rPr>
        <w:t>Three mature candidate story themes designed for middle-school engagement:</w:t>
      </w:r>
    </w:p>
    <w:p>
      <w:pPr>
        <w:pStyle w:val="ListBullet"/>
        <w:spacing w:after="80" w:line="276" w:lineRule="auto"/>
      </w:pPr>
      <w:r>
        <w:rPr>
          <w:b/>
        </w:rPr>
        <w:t xml:space="preserve">Theme A (Selected): </w:t>
      </w:r>
      <w:r>
        <w:t>Global Cyber-Grid Architects: Junior system engineers optimizing network bandwith, server fraction allocation, and decimal signal latency across major world hubs (Tokyo, London, NYC, Nairobi, Rio).</w:t>
      </w:r>
    </w:p>
    <w:p>
      <w:pPr>
        <w:pStyle w:val="ListBullet"/>
        <w:spacing w:after="80" w:line="276" w:lineRule="auto"/>
      </w:pPr>
      <w:r>
        <w:rPr>
          <w:b/>
        </w:rPr>
        <w:t xml:space="preserve">Theme B: </w:t>
      </w:r>
      <w:r>
        <w:t>Interstellar Navigation Guild: Flight navigators calculating thrust ratios, fuel fractions, and orbital trajectory decimals for space exploration craft.</w:t>
      </w:r>
    </w:p>
    <w:p>
      <w:pPr>
        <w:pStyle w:val="ListBullet"/>
        <w:spacing w:after="80" w:line="276" w:lineRule="auto"/>
      </w:pPr>
      <w:r>
        <w:rPr>
          <w:b/>
        </w:rPr>
        <w:t xml:space="preserve">Theme C: </w:t>
      </w:r>
      <w:r>
        <w:t>Global Eco-Engineering League: Environmental scientists balancing renewable energy fractions, water flow decimals, and carbon metric calculations.</w:t>
      </w: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5. The 6-Phase Learner Journey</w:t>
      </w:r>
    </w:p>
    <w:p>
      <w:pPr>
        <w:pStyle w:val="ListBullet"/>
        <w:spacing w:after="80" w:line="276" w:lineRule="auto"/>
      </w:pPr>
      <w:r>
        <w:rPr>
          <w:b/>
        </w:rPr>
        <w:t xml:space="preserve">Phase 1 - </w:t>
      </w:r>
      <w:r>
        <w:t>INTRO: System briefing &amp; global engineering dashboard overview.</w:t>
      </w:r>
    </w:p>
    <w:p>
      <w:pPr>
        <w:pStyle w:val="ListBullet"/>
        <w:spacing w:after="80" w:line="276" w:lineRule="auto"/>
      </w:pPr>
      <w:r>
        <w:rPr>
          <w:b/>
        </w:rPr>
        <w:t xml:space="preserve">Phase 2 - </w:t>
      </w:r>
      <w:r>
        <w:t>WONDER: Hook — 'Why does 1/3 equal 0.333... forever, but 1/4 ends at 0.25?' Interactive decimal splitter.</w:t>
      </w:r>
    </w:p>
    <w:p>
      <w:pPr>
        <w:pStyle w:val="ListBullet"/>
        <w:spacing w:after="80" w:line="276" w:lineRule="auto"/>
      </w:pPr>
      <w:r>
        <w:rPr>
          <w:b/>
        </w:rPr>
        <w:t xml:space="preserve">Phase 3 - </w:t>
      </w:r>
      <w:r>
        <w:t>STORY: Global Cyber-Grid Architects narrative panels (Aisha in Dubai, Liam in London, Yuki in Tokyo).</w:t>
      </w:r>
    </w:p>
    <w:p>
      <w:pPr>
        <w:pStyle w:val="ListBullet"/>
        <w:spacing w:after="80" w:line="276" w:lineRule="auto"/>
      </w:pPr>
      <w:r>
        <w:rPr>
          <w:b/>
        </w:rPr>
        <w:t xml:space="preserve">Phase 4 - </w:t>
      </w:r>
      <w:r>
        <w:t>SIMULATE: 3 interactive stations (Station A: Fraction-Decimal Converter &amp; Terminating/Recurring; Station B: Operations &amp; Reciprocal Matrix; Station C: Rounding &amp; Sig Fig Calibrator).</w:t>
      </w:r>
    </w:p>
    <w:p>
      <w:pPr>
        <w:pStyle w:val="ListBullet"/>
        <w:spacing w:after="80" w:line="276" w:lineRule="auto"/>
      </w:pPr>
      <w:r>
        <w:rPr>
          <w:b/>
        </w:rPr>
        <w:t xml:space="preserve">Phase 5 - </w:t>
      </w:r>
      <w:r>
        <w:t>PLAY: IntelliPlay™ 10-World Cyber League with procedural questions, streak multipliers, and Boss Milestones.</w:t>
      </w:r>
    </w:p>
    <w:p>
      <w:pPr>
        <w:pStyle w:val="ListBullet"/>
        <w:spacing w:after="80" w:line="276" w:lineRule="auto"/>
      </w:pPr>
      <w:r>
        <w:rPr>
          <w:b/>
        </w:rPr>
        <w:t xml:space="preserve">Phase 6 - </w:t>
      </w:r>
      <w:r>
        <w:t>REFLECT: Engineering log reflection, confidence rating, and global architect certificate.</w:t>
      </w:r>
    </w:p>
    <w:p>
      <w:pPr>
        <w:keepNext/>
        <w:spacing w:before="360" w:after="160"/>
      </w:pPr>
      <w:r>
        <w:rPr>
          <w:rFonts w:ascii="Calibri" w:hAnsi="Calibri"/>
          <w:b/>
          <w:color w:val="2D1B69"/>
          <w:sz w:val="36"/>
        </w:rPr>
        <w:t>PART 2: TECHNICAL REQUIREMENTS DOCUMENT (TRD)</w:t>
      </w: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1. Technology Stack &amp; Architecture</w:t>
      </w:r>
    </w:p>
    <w:p>
      <w:pPr>
        <w:pStyle w:val="ListBullet"/>
        <w:spacing w:after="80" w:line="276" w:lineRule="auto"/>
      </w:pPr>
      <w:r>
        <w:rPr>
          <w:b/>
        </w:rPr>
        <w:t xml:space="preserve">UI Framework: </w:t>
      </w:r>
      <w:r>
        <w:t>Vite + React 18/19 (TypeScript / JSX)</w:t>
      </w:r>
    </w:p>
    <w:p>
      <w:pPr>
        <w:pStyle w:val="ListBullet"/>
        <w:spacing w:after="80" w:line="276" w:lineRule="auto"/>
      </w:pPr>
      <w:r>
        <w:rPr>
          <w:b/>
        </w:rPr>
        <w:t xml:space="preserve">Styling: </w:t>
      </w:r>
      <w:r>
        <w:t>Vanilla CSS Modules + Tailwind Utility Classes (Dark glassmorphism theme)</w:t>
      </w:r>
    </w:p>
    <w:p>
      <w:pPr>
        <w:pStyle w:val="ListBullet"/>
        <w:spacing w:after="80" w:line="276" w:lineRule="auto"/>
      </w:pPr>
      <w:r>
        <w:rPr>
          <w:b/>
        </w:rPr>
        <w:t xml:space="preserve">Icons &amp; SVGs: </w:t>
      </w:r>
      <w:r>
        <w:t>Lucide React + Inline SVG Custom Visualizers</w:t>
      </w:r>
    </w:p>
    <w:p>
      <w:pPr>
        <w:pStyle w:val="ListBullet"/>
        <w:spacing w:after="80" w:line="276" w:lineRule="auto"/>
      </w:pPr>
      <w:r>
        <w:rPr>
          <w:b/>
        </w:rPr>
        <w:t xml:space="preserve">Animations: </w:t>
      </w:r>
      <w:r>
        <w:t>Framer Motion + CSS keyframes for 60fps micro-animations</w:t>
      </w:r>
    </w:p>
    <w:p>
      <w:pPr>
        <w:pStyle w:val="ListBullet"/>
        <w:spacing w:after="80" w:line="276" w:lineRule="auto"/>
      </w:pPr>
      <w:r>
        <w:rPr>
          <w:b/>
        </w:rPr>
        <w:t xml:space="preserve">State Management: </w:t>
      </w:r>
      <w:r>
        <w:t>React useReducer + Context API + 24hr LocalStorage persistence</w:t>
      </w:r>
    </w:p>
    <w:p>
      <w:pPr>
        <w:pStyle w:val="ListBullet"/>
        <w:spacing w:after="80" w:line="276" w:lineRule="auto"/>
      </w:pPr>
      <w:r>
        <w:rPr>
          <w:b/>
        </w:rPr>
        <w:t xml:space="preserve">Audio Pipeline: </w:t>
      </w:r>
      <w:r>
        <w:t>Three-tier hybrid engine (Pre-generated ElevenLabs .mp3 assets → Dynamic ElevenLabs API → Web Speech API fallback)</w:t>
      </w: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2. Reference Repository Alignment</w:t>
      </w:r>
    </w:p>
    <w:p>
      <w:pPr>
        <w:spacing w:after="120" w:line="276" w:lineRule="auto"/>
      </w:pPr>
      <w:r>
        <w:rPr>
          <w:i w:val="0"/>
        </w:rPr>
        <w:t>The project structure strictly mirrors github.com/dsamyak/equal and equal-tau.vercel.app for UI/UX glassmorphism aesthetics, while using state management and audio queue patterns from github.com/dsamyak/numberbound.</w:t>
      </w: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3. Three-Tier Audio Pipeline Specification</w:t>
      </w:r>
    </w:p>
    <w:p>
      <w:pPr>
        <w:pStyle w:val="ListBullet"/>
        <w:spacing w:after="80" w:line="276" w:lineRule="auto"/>
      </w:pPr>
      <w:r>
        <w:rPr>
          <w:b/>
        </w:rPr>
        <w:t xml:space="preserve">• </w:t>
      </w:r>
      <w:r>
        <w:t>Tier 1 (Static Assets): Pre-generated ElevenLabs MP3 files stored in public/assets/audio/ and indexed via src/utils/audioMap.ts.</w:t>
      </w:r>
    </w:p>
    <w:p>
      <w:pPr>
        <w:pStyle w:val="ListBullet"/>
        <w:spacing w:after="80" w:line="276" w:lineRule="auto"/>
      </w:pPr>
      <w:r>
        <w:rPr>
          <w:b/>
        </w:rPr>
        <w:t xml:space="preserve">• </w:t>
      </w:r>
      <w:r>
        <w:t>Tier 2 (Dynamic ElevenLabs): On-the-fly API call to ElevenLabs endpoint using voice 'Alice' (ID: Xb7hH8MSUJpSbSDYk0k2) when VITE_ELEVENLABS_API_KEY is present.</w:t>
      </w:r>
    </w:p>
    <w:p>
      <w:pPr>
        <w:pStyle w:val="ListBullet"/>
        <w:spacing w:after="80" w:line="276" w:lineRule="auto"/>
      </w:pPr>
      <w:r>
        <w:rPr>
          <w:b/>
        </w:rPr>
        <w:t xml:space="preserve">• </w:t>
      </w:r>
      <w:r>
        <w:t>Tier 3 (Web Speech API Fallback): Browser-native SpeechSynthesis fallback ensuring 100% audio availability across all offline and restricted environments.</w:t>
      </w: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4. Procedural Question Generation Engine</w:t>
      </w:r>
    </w:p>
    <w:p>
      <w:pPr>
        <w:spacing w:after="120" w:line="276" w:lineRule="auto"/>
      </w:pPr>
      <w:r>
        <w:rPr>
          <w:i w:val="0"/>
        </w:rPr>
        <w:t>To ensure 0% question repetition across retries, the math engine dynamically parameterizes question templates: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D1B69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2D1B69"/>
              </w:rPr>
              <w:t xml:space="preserve">PROCEDURAL MATH ENGINE: </w:t>
            </w:r>
            <w:r>
              <w:rPr>
                <w:i/>
              </w:rPr>
              <w:t>Example Engine Logic: Generates fraction a/b where a ∈ [1, 15], b ∈ [2, 20]. Computes exact decimal d = a/b. Determines terminating (b prime factors only 2, 5) vs recurring. Dynamically generates distractor options using common student misconceptions.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3C2878"/>
          <w:sz w:val="28"/>
        </w:rPr>
        <w:t>5. Vercel Deployment Configuration</w:t>
      </w:r>
    </w:p>
    <w:p>
      <w:pPr>
        <w:spacing w:after="120" w:line="276" w:lineRule="auto"/>
      </w:pPr>
      <w:r>
        <w:rPr>
          <w:i w:val="0"/>
        </w:rPr>
        <w:t>Configured for single-command Vercel serverless deployment with SPA rewrites:</w:t>
      </w:r>
    </w:p>
    <w:p>
      <w:pPr>
        <w:pStyle w:val="ListBullet"/>
        <w:spacing w:after="80" w:line="276" w:lineRule="auto"/>
      </w:pPr>
      <w:r>
        <w:rPr>
          <w:b/>
        </w:rPr>
        <w:t xml:space="preserve">Routing: </w:t>
      </w:r>
      <w:r>
        <w:t>verce.json build config with rewrite rule source: '/(.*)' -&gt; destination: '/index.html'</w:t>
      </w:r>
    </w:p>
    <w:p>
      <w:pPr>
        <w:pStyle w:val="ListBullet"/>
        <w:spacing w:after="80" w:line="276" w:lineRule="auto"/>
      </w:pPr>
      <w:r>
        <w:rPr>
          <w:b/>
        </w:rPr>
        <w:t xml:space="preserve">Environment: </w:t>
      </w:r>
      <w:r>
        <w:t>VITE_ELEVENLABS_API_KEY injected via environment variables.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