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《以生之名》公关活动策划（线上线下联动版）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一、活动核心定位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死亡教育”为切入点，通过“个体对亲人物理死亡的认知→对自身物理死亡的接纳→自我成长蜕变”的三层递进逻辑，打造“温暖治愈+深度思考+实践成长”的沉浸式公关活动。线上以网页/APP为核心载体，承担预约、体验、记录、传播功能；线下打造场景化互动空间，实现“虚拟情感”到“现实感知”的落地，最终传递“尊重生命、拥抱成长”的核心价值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二、线上平台（网页/APP）核心设计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平台作为活动的“中枢枢纽”，需实现“场景引导、体验承载、用户连接、数据沉淀”四大功能，整体风格温暖治愈，以绿色、米白为主色调，融入种子、嫩芽、青枝等自然元素，贴合“向生、向死、向新”的主题脉络。</w:t>
      </w:r>
      <w:r>
        <w:rPr>
          <w:rFonts w:eastAsia="等线" w:ascii="Arial" w:cs="Arial" w:hAnsi="Arial"/>
          <w:sz w:val="22"/>
        </w:rPr>
        <w:t>各核心模块细化功能分区如下：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（一）核心功能模块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首页：主题引导与活动总览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主题视觉区（顶部通栏）</w:t>
      </w:r>
      <w:r>
        <w:rPr>
          <w:rFonts w:eastAsia="等线" w:ascii="Arial" w:cs="Arial" w:hAnsi="Arial"/>
          <w:sz w:val="22"/>
        </w:rPr>
        <w:t>：核心功能——展示活动核心视觉，强化主题认知；具体细节：循环播放3组主题KV（埋种子、朽壤生花、虬枝焕青），每张KV搭配对应主题slogan，点击KV任意区域可直接跳转至对应主题模块；交互逻辑——hover时KV轻微缩放，显示“进入主题”引导图标；服务对象——所有访问用户（游客+注册用户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活动指引区（中部核心）</w:t>
      </w:r>
      <w:r>
        <w:rPr>
          <w:rFonts w:eastAsia="等线" w:ascii="Arial" w:cs="Arial" w:hAnsi="Arial"/>
          <w:sz w:val="22"/>
        </w:rPr>
        <w:t>：核心功能——清晰呈现活动全链路，降低用户理解成本；具体细节：左侧为“时间轴流程图”，标注“线上预约→线下体验→线上记录→成长沉淀”4个核心节点，每个节点搭配简约图标（日历、地图、笔记本、树苗）；右侧为“核心价值说明”，用3行简短文字提炼活动意义（“温柔认知死亡”“主动拥抱成长”“留存生命记忆”）；交互逻辑——点击时间轴节点可跳转至对应功能页面；服务对象——所有访问用户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用户服务入口区（右侧/底部）</w:t>
      </w:r>
      <w:r>
        <w:rPr>
          <w:rFonts w:eastAsia="等线" w:ascii="Arial" w:cs="Arial" w:hAnsi="Arial"/>
          <w:sz w:val="22"/>
        </w:rPr>
        <w:t>：核心功能——分流用户需求，提供便捷入口；具体细节：分为3个子入口，①“游客浏览”：点击后进入活动公共内容区（话题、活动预告）；②“注册登录”：支持手机号、微信快捷登录，新用户注册后弹出“生命成长档案”创建引导；③“客服咨询”：悬浮图标，点击进入在线客服对话框，提供常见问题自动回复（预约流程、活动须知等）；服务对象——所有访问用户，注册用户额外享有档案创建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三层主题核心模块（线上线下联动核心载体）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模块一：《思念扎根，向生抽芽》—— 亲人物理死亡认知教育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分区1：思念故事创作区</w:t>
      </w:r>
      <w:r>
        <w:rPr>
          <w:rFonts w:eastAsia="等线" w:ascii="Arial" w:cs="Arial" w:hAnsi="Arial"/>
          <w:sz w:val="22"/>
        </w:rPr>
        <w:t>——核心功能：承接用户情感抒发，生成专属纪念内容；具体细节：① 内容创作模块：提供“文字+图片+短视频”多形式编辑，支持排版调整（字体、颜色），内置3种温馨模板（书信体、回忆清单、故事随笔）；② 审核与展示模块：用户发布后进入人工轻审核（规避违规内容），审核通过后可选择“公开展示”（进入公共故事馆）或“私密保存”（仅个人档案可见）；③ 互动模块：公开故事支持其他用户点赞、留言（留言需审核），用户可设置“关闭评论”；服务对象：所有注册用户，支持匿名发布（匿名内容仅显示“匿名用户”标识）；交互逻辑：创作完成后生成带唯一编号的“思念卡片”，支持下载、分享至社交平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分区2：虚拟种植互动区</w:t>
      </w:r>
      <w:r>
        <w:rPr>
          <w:rFonts w:eastAsia="等线" w:ascii="Arial" w:cs="Arial" w:hAnsi="Arial"/>
          <w:sz w:val="22"/>
        </w:rPr>
        <w:t>——核心功能：通过虚拟种植联动线下行为，具象化思念；具体细节：① 种子选择模块：展示6种主题种子（松柏-坚韧、康乃馨-感恩、向日葵-希望、玉兰-思念、桂花-陪伴、雏菊-勇气），每种种子标注寓意及生长周期；② 虚拟养护模块：用户每日可进行1次“浇水”“松土”操作，每次操作后种子状态更新（如吸水膨胀、破土发芽），线下完成埋种后解锁“快速生长”特权（直接成长为幼苗）；③ 生长记录模块：自动记录种植时间、养护次数、生长阶段，生成“思念生长日志”，同步至个人档案；服务对象：注册用户（需绑定线下埋种预约信息）；交互逻辑：点击种子可查看生长进度，生长至成熟期解锁“思念寄语弹窗”，用户可补充新的寄语更新卡片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分区3：线下埋种预约区</w:t>
      </w:r>
      <w:r>
        <w:rPr>
          <w:rFonts w:eastAsia="等线" w:ascii="Arial" w:cs="Arial" w:hAnsi="Arial"/>
          <w:sz w:val="22"/>
        </w:rPr>
        <w:t>——核心功能：实现线下活动的精准预约与指引；具体细节：① 场次选择模块：按城市筛选活动场地（如北京-植物园、上海-辰山植物园），展示剩余名额、活动时间（分上午/下午场，每场限30人）；② 信息填写模块：预约时需填写“参与人数”“是否需要陪同（老人/儿童）”“特殊需求（如轮椅通道）”，同步收集“思念寄语”（用于制作纪念标签）；③ 预约后服务模块：生成带二维码的预约凭证，包含活动地址、交通指引、注意事项（如穿着舒适衣物、禁止携带易燃物品），活动前1天发送短信提醒；服务对象：注册用户（可替他人预约，需填写同行人信息）；交互逻辑：预约成功后跳转至“预约详情页”，支持修改信息、取消预约（活动前24小时可免费取消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核心逻辑：通过线上情感抒发+线下实体种植，将“思念”转化为可感知的生命载体，完成对亲人物理死亡的温柔认知。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模块二：《朽壤生花，向死而生》—— 自身物理死亡接纳教育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分区1：生命时光轴创建区</w:t>
      </w:r>
      <w:r>
        <w:rPr>
          <w:rFonts w:eastAsia="等线" w:ascii="Arial" w:cs="Arial" w:hAnsi="Arial"/>
          <w:sz w:val="22"/>
        </w:rPr>
        <w:t>——核心功能：引导用户梳理人生历程，正视生命有限性；具体细节：① 模板选择模块：提供“极简时间轴”“故事型时间轴”“愿望清单型时间轴”3种模板；② 节点编辑模块：预设“出生”“入学”“重要成就”“遗憾之事”“未来愿望”5类节点，用户可添加自定义节点，上传对应照片、文字描述（支持语音输入）；③ 生成与编辑模块：完成编辑后生成动态时间轴（点击节点弹出详情），支持后续补充、修改节点内容；服务对象：注册用户；交互逻辑：时间轴生成后可设置“仅自己可见”“分享给指定好友”，分享时生成带密码的链接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分区2：死亡认知轻课堂区</w:t>
      </w:r>
      <w:r>
        <w:rPr>
          <w:rFonts w:eastAsia="等线" w:ascii="Arial" w:cs="Arial" w:hAnsi="Arial"/>
          <w:sz w:val="22"/>
        </w:rPr>
        <w:t>——核心功能：科普知识，破除死亡恐惧；具体细节：① 内容分类模块：按“儿童版”“青少年版”“成人版”分类，儿童版以动画故事为主（如《小种子的生命》），成人版包含专家访谈、案例分享；② 学习互动模块：每节课程后设置1-2个轻问答（如“生命的意义在于什么？”），回答后解锁下一节内容；③ 资源下载模块：提供科普手册（PDF格式）、音频故事（MP3格式）下载，支持离线学习；服务对象：所有用户（游客可浏览部分内容，完整内容需注册）；交互逻辑：课程播放时支持暂停、倍速，进度自动保存至个人中心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分区3：虚拟生命花田区</w:t>
      </w:r>
      <w:r>
        <w:rPr>
          <w:rFonts w:eastAsia="等线" w:ascii="Arial" w:cs="Arial" w:hAnsi="Arial"/>
          <w:sz w:val="22"/>
        </w:rPr>
        <w:t>——核心功能：将生命思考转化为可视化符号；具体细节：① 花朵创建模块：用户填写“我认为生命的价值是____”“我想完成的3件事”，系统根据内容生成专属“生命之花”（花瓣数量、颜色对应不同价值观）；② 联动成长模块：线下完成“朽壤生花”装置互动后，线上花朵解锁“绽放”状态，花瓣显示填写的内容；③ 收藏与分享模块：可将生命之花添加至个人档案，支持生成海报分享；服务对象：注册用户；交互逻辑：点击绽放的花朵可查看其他用户的生命思考（匿名展示），支持点赞鼓励。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分区4：线下生命体验馆预约区</w:t>
      </w:r>
      <w:r>
        <w:rPr>
          <w:rFonts w:eastAsia="等线" w:ascii="Arial" w:cs="Arial" w:hAnsi="Arial"/>
          <w:sz w:val="22"/>
        </w:rPr>
        <w:t>——核心功能：预约线下沉浸式体验与沙龙；具体细节：① 体验项目选择模块：分为“VR生命回溯”（单人体验，每场15分钟）、“生命教育沙龙”（集体活动，每场45分钟），展示场次、剩余名额；② 信息确认模块：预约VR体验需选择体验时长（15分钟/30分钟），预约沙龙需填写“是否有想提问的问题”；③ 预约提醒模块：生成预约凭证，活动前3小时发送短信提醒，包含场馆定位、入场须知（如VR体验需提前摘下眼镜）；服务对象：注册用户（12岁以下儿童需家长陪同，需填写家长信息）；交互逻辑：支持查看同场活动的人数（匿名显示），可申请更换场次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核心逻辑：通过线上认知科普+线下沉浸式体验，引导用户正视自身死亡，理解“生命有限”的本质，进而珍惜当下。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模块三：《虬枝焕青，向新而行》—— 自我成长蜕变实践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分区1：成长目标创建区</w:t>
      </w:r>
      <w:r>
        <w:rPr>
          <w:rFonts w:eastAsia="等线" w:ascii="Arial" w:cs="Arial" w:hAnsi="Arial"/>
          <w:sz w:val="22"/>
        </w:rPr>
        <w:t>——核心功能：帮助用户设定具体成长目标，明确行动方向；具体细节：① 目标分类模块：分为“技能提升”“心态调整”“关系改善”“体验突破”4类，每类提供示例（如技能提升-学习绘画、体验突破-独自旅行）；② 目标编辑模块：用户填写目标名称、完成期限、具体行动步骤（可添加3-5个小步骤），设置“进度提醒”（如每周日提醒复盘）；③ 目标管理模块：生成“成长任务卡”，显示完成进度、剩余时间，支持标记“已完成”“暂停”；服务对象：注册用户；交互逻辑：目标完成后可上传证明材料（如作品照片、旅行凭证），系统生成“成长勋章”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分区2：蜕变故事分享区</w:t>
      </w:r>
      <w:r>
        <w:rPr>
          <w:rFonts w:eastAsia="等线" w:ascii="Arial" w:cs="Arial" w:hAnsi="Arial"/>
          <w:sz w:val="22"/>
        </w:rPr>
        <w:t>——核心功能：构建互助社区，传递成长力量；具体细节：① 故事发布模块：支持发布文字、图片、短视频，标注“成长类型”（如从悲伤中走出、突破自我限制），内置“成长感悟模板”；② 社区互动模块：用户可对故事点赞、评论、收藏，设置“精华故事”展示在首页；③ 话题引导模块：定期更新引导话题（如“我的第一次突破”“成长中的小确幸”）；服务对象：注册用户；交互逻辑：发布故事后可选择“允许他人转载”“仅社区可见”，评论区设置“友善发言提醒”。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分区3：虚拟成长森林区</w:t>
      </w:r>
      <w:r>
        <w:rPr>
          <w:rFonts w:eastAsia="等线" w:ascii="Arial" w:cs="Arial" w:hAnsi="Arial"/>
          <w:sz w:val="22"/>
        </w:rPr>
        <w:t>——核心功能：可视化成长轨迹，强化成长成就感；具体细节：① 树木创建模块：用户注册后生成专属“小树苗”，完成成长任务后解锁“青枝”“新叶”“花朵”等元素；② 成长数据模块：显示树木生长等级、解锁元素数量、完成任务总数，生成“成长报告”（每周更新）；③ 社交互动模块：可参观好友的成长森林，赠送“成长能量”（每日1次），助力对方树木生长；服务对象：注册用户；交互逻辑：点击树木不同部位可查看对应成长任务的完成记录。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分区4：线下成长营预约区</w:t>
      </w:r>
      <w:r>
        <w:rPr>
          <w:rFonts w:eastAsia="等线" w:ascii="Arial" w:cs="Arial" w:hAnsi="Arial"/>
          <w:sz w:val="22"/>
        </w:rPr>
        <w:t>——核心功能：预约线下实践活动，落地成长目标；具体细节：① 活动选择模块：按主题筛选活动（如“手工创作营”“户外徒步营”“分享表达营”），展示活动时间、地点、适合人群、所需物料；② 报名信息模块：填写参与人数、是否有饮食禁忌（如素食、过敏食物）、是否需要协助（如体力不便）；③ 活动准备模块：生成“活动准备清单”（如户外徒步需携带水杯、防晒用品），活动前1天发送提醒；服务对象：注册用户（可组队报名，支持创建小队邀请好友）；交互逻辑：报名成功后可查看同队成员信息（匿名显示昵称），支持小队内聊天沟通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核心逻辑：通过线上目标设定+线下实践落地，将对生命的思考转化为成长动力，完成从“接纳死亡”到“主动成长”的蜕变。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线下活动联动中心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分区1：活动日历展示区</w:t>
      </w:r>
      <w:r>
        <w:rPr>
          <w:rFonts w:eastAsia="等线" w:ascii="Arial" w:cs="Arial" w:hAnsi="Arial"/>
          <w:sz w:val="22"/>
        </w:rPr>
        <w:t>——核心功能：集中呈现所有线下活动信息；具体细节：① 筛选模块：支持按“城市”“活动类型”“时间”筛选，默认显示当前所在城市及未来7天活动；② 信息展示模块：日历上标注活动日期，点击日期弹出活动列表，包含活动名称、时间、地点、剩余名额、核心亮点；③ 收藏模块：支持收藏感兴趣的活动，收藏后在个人中心“我的收藏”中显示，活动前1天发送提醒；服务对象：所有用户；交互逻辑：点击活动名称可直接跳转至对应预约页面。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分区2：报名与核销管理区</w:t>
      </w:r>
      <w:r>
        <w:rPr>
          <w:rFonts w:eastAsia="等线" w:ascii="Arial" w:cs="Arial" w:hAnsi="Arial"/>
          <w:sz w:val="22"/>
        </w:rPr>
        <w:t>——核心功能：处理报名流程与线下核销；具体细节：① 报名记录模块：显示用户所有报名的活动，标注“待核销”“已核销”“已取消”状态；② 核销凭证模块：生成带动态二维码的核销码（每分钟更新，防止截图盗用），支持出示二维码或输入核销码核销；③ 退票/改期模块：明确退票规则（活动前24小时免费退，24小时内不退），支持改期1次（需提前12小时申请）；服务对象：注册用户；交互逻辑：核销成功后即时收到短信通知，同步更新活动状态为“已核销”。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分区3：场地导航服务区</w:t>
      </w:r>
      <w:r>
        <w:rPr>
          <w:rFonts w:eastAsia="等线" w:ascii="Arial" w:cs="Arial" w:hAnsi="Arial"/>
          <w:sz w:val="22"/>
        </w:rPr>
        <w:t>——核心功能：提供精准的线下活动场地导航；具体细节：① 地图集成模块：对接高德/百度地图，显示活动场地的精准位置、周边交通（公交、地铁、停车场）；② 路线规划模块：输入出发地点，自动生成最优出行路线（步行、公交、自驾），显示所需时间；③ 周边服务模块：标注场地周边的卫生间、便利店、医疗点等便民设施；服务对象：所有用户；交互逻辑：支持导航链接跳转至地图APP，离线保存导航信息。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分区4：线下活动回顾区</w:t>
      </w:r>
      <w:r>
        <w:rPr>
          <w:rFonts w:eastAsia="等线" w:ascii="Arial" w:cs="Arial" w:hAnsi="Arial"/>
          <w:sz w:val="22"/>
        </w:rPr>
        <w:t>——核心功能：沉淀线下活动精彩瞬间；具体细节：① 官方回顾模块：发布活动现场照片、视频集锦，按活动类型、时间分类；② 个人回顾模块：用户可查看自己参与活动的现场照片（由工作人员拍摄上传），支持下载、分享；③ 评论互动模块：可对回顾内容评论、点赞，分享参与感受；服务对象：所有用户，注册用户可查看个人参与记录；交互逻辑：照片支持放大查看，视频支持倍速播放、全屏播放。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社区与传播模块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分区1：主题话题运营区</w:t>
      </w:r>
      <w:r>
        <w:rPr>
          <w:rFonts w:eastAsia="等线" w:ascii="Arial" w:cs="Arial" w:hAnsi="Arial"/>
          <w:sz w:val="22"/>
        </w:rPr>
        <w:t>——核心功能：引导用户互动讨论，营造社区氛围；具体细节：① 官方话题模块：置顶#我的思念种子# #向死而生的勇气# #我的成长蜕变#等核心话题，每个话题下有官方引导文案、精选内容；② 话题发布模块：用户可发起自定义话题，标注话题类型（如“思念”“成长”“感悟”），官方审核通过后上线；③ 话题排序模块：按“热度”“最新”排序，热度话题根据互动量（点赞、评论、分享）实时更新；服务对象：注册用户；交互逻辑：点击话题可查看所有相关内容，支持一键发布话题内容。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分区2：内容分享推广区</w:t>
      </w:r>
      <w:r>
        <w:rPr>
          <w:rFonts w:eastAsia="等线" w:ascii="Arial" w:cs="Arial" w:hAnsi="Arial"/>
          <w:sz w:val="22"/>
        </w:rPr>
        <w:t>——核心功能：降低分享门槛，扩大活动传播；具体细节：① 分享模板模块：为思念卡片、生命时光轴、成长之树分别设计3种分享海报模板，支持自定义背景、文字颜色；② 多平台适配模块：支持分享至微信好友/朋友圈、微博、抖音，不同平台自动适配分享格式（如抖音生成短视频，微博生成图文）；③ 分享激励模块：首次分享可解锁“纪念勋章”，分享内容获得10个以上点赞可兑换“线下活动优先预约权”；服务对象：注册用户；交互逻辑：分享成功后弹出“分享成功”提示，同步记录分享数据至个人中心。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分区3：专家互动专区</w:t>
      </w:r>
      <w:r>
        <w:rPr>
          <w:rFonts w:eastAsia="等线" w:ascii="Arial" w:cs="Arial" w:hAnsi="Arial"/>
          <w:sz w:val="22"/>
        </w:rPr>
        <w:t>——核心功能：提供专业指导，解答用户困惑；具体细节：① 直播预告模块：提前3天发布专家直播信息，包含专家介绍、直播主题、时间、预约入口；② 直播互动模块：直播时支持用户留言提问、点赞，专家选择问题进行解答，设置“弹幕过滤”功能（屏蔽违规言论）；③ 回放与答疑模块：直播结束后生成回放视频，按主题剪辑精彩片段，未被解答的问题整理成“答疑集锦”发布；服务对象：所有用户，注册用户可预约直播提醒；交互逻辑：直播回放支持倍速、拖拽，可对精彩片段进行收藏、分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 个人中心</w:t>
      </w:r>
      <w:bookmarkEnd w:id="1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分区1：生命成长档案管理区</w:t>
      </w:r>
      <w:r>
        <w:rPr>
          <w:rFonts w:eastAsia="等线" w:ascii="Arial" w:cs="Arial" w:hAnsi="Arial"/>
          <w:sz w:val="22"/>
        </w:rPr>
        <w:t>——核心功能：汇总用户全流程体验数据；具体细节：① 档案概览模块：显示档案等级、累计完成任务数、解锁元素数，生成“成长数据图表”（如情感抒发次数、线下活动参与次数）；② 内容编辑模块：可编辑个人资料（昵称、头像、个性签名），修改档案隐私设置（公开/私密）；③ 数据导出模块：支持导出档案内容为PDF格式（含文字、图片、数据图表），用于留存纪念；服务对象：注册用户；交互逻辑：档案内容实时更新，每次完成线上线下活动后自动同步。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分区2：我的活动记录区</w:t>
      </w:r>
      <w:r>
        <w:rPr>
          <w:rFonts w:eastAsia="等线" w:ascii="Arial" w:cs="Arial" w:hAnsi="Arial"/>
          <w:sz w:val="22"/>
        </w:rPr>
        <w:t>——核心功能：集中管理用户参与的所有活动；具体细节：① 活动分类模块：分为“线上活动”“线下活动”，线下活动标注“已参与”“待参与”“已取消”；② 活动详情模块：点击活动可查看详细信息（时间、地点、参与记录、现场照片）；③ 评价反馈模块：参与完线下活动后可对活动组织、体验感进行评价（1-5星），填写反馈建议；服务对象：注册用户；交互逻辑：评价完成后可查看其他用户的评价，官方对反馈建议进行回复。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分区3：消息中心区</w:t>
      </w:r>
      <w:r>
        <w:rPr>
          <w:rFonts w:eastAsia="等线" w:ascii="Arial" w:cs="Arial" w:hAnsi="Arial"/>
          <w:sz w:val="22"/>
        </w:rPr>
        <w:t>——核心功能：推送重要信息，保障用户知情权；具体细节：① 消息分类模块：分为“活动提醒”“系统通知”“社区互动”“专家直播”，未读消息标注红点；② 消息设置模块：可自定义接收消息类型、推送时间（如仅工作时间推送）；③ 历史消息模块：保存3个月内的消息记录，支持搜索关键词查找；服务对象：注册用户；交互逻辑：点击消息可直接跳转至对应页面（如活动提醒跳转至活动详情）。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分区4：账号设置区</w:t>
      </w:r>
      <w:r>
        <w:rPr>
          <w:rFonts w:eastAsia="等线" w:ascii="Arial" w:cs="Arial" w:hAnsi="Arial"/>
          <w:sz w:val="22"/>
        </w:rPr>
        <w:t>——核心功能：保障账号安全与个性化设置；具体细节：① 安全设置模块：支持修改密码、绑定手机号、设置登录保护（短信验证）；② 隐私设置模块：可设置个人内容的可见范围（公开/仅好友/仅自己），控制个人信息是否被推荐；③ 通用设置模块：设置APP推送权限、语言、字体大小等；服务对象：注册用户；交互逻辑：修改设置后即时生效，弹出“设置成功”提示。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（二）网页与APP适配差异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功能侧重（细化分区适配）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无需下载，触达门槛低，适合广泛传播、活动预热、信息查询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主题视觉区+活动指引区（完整展示，支持快速跳转）；2. 思念故事创作区（轻量版，支持文字+图片发布）；3. 虚拟种植互动区（基础版，仅展示生长状态，不支持离线操作）；4. 线下活动预约区（完整功能，含场次选择、信息填写）；5. 活动日历展示区+场地导航服务区（完整功能，支持地图跳转）；6. 主题话题区（浏览版，支持查看精选内容，发布需跳转登录）；7. 专家直播回放区（完整功能，支持观看回放）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体验更流畅，可实现更复杂的交互与数据沉淀，用户粘性更高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全部分区完整功能（含思念故事创作区全形式编辑、虚拟种植互动区离线养护）；2. 生命成长档案管理区（完整数据沉淀、图表生成、PDF导出）；3. 虚拟生命花田区+虚拟成长森林区（沉浸式交互，支持3D查看）；4. 社区互动专区（完整发布、评论、点赞、收藏功能）；5. 消息中心区（实时推送、消息分类管理）；6. 个人活动记录区（含评价反馈、现场照片下载）；7. 专家直播互动区（实时观看、留言提问、预约提醒）；8. 离线数据保存（支持离线查看已下载的课程、活动信息）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三、线下活动核心设计（与线上深度联动）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线下活动作为线上体验的“实体延伸”，聚焦“场景化、沉浸式、互动性”，</w:t>
      </w:r>
      <w:r>
        <w:rPr>
          <w:rFonts w:eastAsia="等线" w:ascii="Arial" w:cs="Arial" w:hAnsi="Arial"/>
          <w:sz w:val="22"/>
        </w:rPr>
        <w:t>按“功能分区明确、动线设计合理、体验流程顺畅”原则规划场地，</w:t>
      </w:r>
      <w:r>
        <w:rPr>
          <w:rFonts w:eastAsia="等线" w:ascii="Arial" w:cs="Arial" w:hAnsi="Arial"/>
          <w:sz w:val="22"/>
        </w:rPr>
        <w:t>让抽象的“生命认知”转化为可触摸、可参与的现实体验，同时为线上内容提供素材与话题点。</w:t>
      </w:r>
      <w:r>
        <w:rPr>
          <w:rFonts w:eastAsia="等线" w:ascii="Arial" w:cs="Arial" w:hAnsi="Arial"/>
          <w:sz w:val="22"/>
        </w:rPr>
        <w:t>各线下活动细化分区及功能如下：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（一）第一层：《思念扎根，向生抽芽》—— 现实埋种仪式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活动地点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全国重点城市的城市公园（如北京植物园、上海辰山植物园），划分专属“思念种植区”，整体场地按“动线流畅、氛围温馨”原则规划，总占地面积约50㎡，具体分区如下：① 签到核销区（入口处，10㎡）；② 思念引导区（签到区旁，15㎡）；③ 核心种植区（场地中央，20㎡）；④ 纪念互动区（种植区旁，5㎡）。提前布置温馨引导牌、纪念标识，种植区铺设松软土壤，周边摆放绿植装饰，营造自然、治愈的氛围。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活动流程</w:t>
      </w:r>
      <w:bookmarkEnd w:id="1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线上预约：用户通过网页/APP选择场次，填写“思念寄语”（将同步至线上思念卡片）；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签到核销区流程</w:t>
      </w:r>
      <w:r>
        <w:rPr>
          <w:rFonts w:eastAsia="等线" w:ascii="Arial" w:cs="Arial" w:hAnsi="Arial"/>
          <w:sz w:val="22"/>
        </w:rPr>
        <w:t>：① 核验环节：用户出示线上预约码，工作人员用核销终端扫码核销，核对参与人数；② 物料发放环节：发放专属种子包（含种子、小铲子、浇水壶、纪念标签），标签上已打印用户预约时填写的“思念寄语”；③ 指引环节：工作人员向用户介绍活动流程、各分区位置及注意事项（如种植时避免踩踏他人种植区域）；人员配置：2名核销人员+1名物料发放人员；设备配置：2台核销终端、物料摆放桌（3张）、遮阳棚（1个）。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思念引导区流程</w:t>
      </w:r>
      <w:r>
        <w:rPr>
          <w:rFonts w:eastAsia="等线" w:ascii="Arial" w:cs="Arial" w:hAnsi="Arial"/>
          <w:sz w:val="22"/>
        </w:rPr>
        <w:t>：① 等候环节：设置10个温馨座椅，播放轻柔的纯音乐（如钢琴版《送别》）；② 引导环节：专业主持人/心理咨询师（2名）分小组引导（每组5人），通过提问“你想对亲人说什么？”“亲人对你的影响是什么？”帮助用户梳理思念情绪，鼓励自愿分享；③ 过渡环节：引导用户前往核心种植区，发放“种植步骤卡”；布置细节：墙面张贴“思念语录”温馨海报，摆放小型绿植、蜡烛（电子仿真）营造氛围。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核心种植区流程</w:t>
      </w:r>
      <w:r>
        <w:rPr>
          <w:rFonts w:eastAsia="等线" w:ascii="Arial" w:cs="Arial" w:hAnsi="Arial"/>
          <w:sz w:val="22"/>
        </w:rPr>
        <w:t>：① 选址环节：用户在种植区选择心仪的位置（每个种植位标注编号，对应线上虚拟种植园编号）；② 种植环节：工作人员（3名）现场指导种植步骤（挖坑→放种子→覆土→浇水），确保种子种植规范；③ 纪念环节：用户将写有思念寄语的纪念标签插入种植位旁，用小石子固定；安全保障：种植区边缘设置围栏，防止儿童走失，配备手套（防止土壤弄脏手）、纸巾等便民物品。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线上同步环节</w:t>
      </w:r>
      <w:r>
        <w:rPr>
          <w:rFonts w:eastAsia="等线" w:ascii="Arial" w:cs="Arial" w:hAnsi="Arial"/>
          <w:sz w:val="22"/>
        </w:rPr>
        <w:t>：纪念互动区工作人员（1名）指导用户扫描种植位编号对应的二维码，将线下埋种行为同步至线上虚拟种植园，解锁“种子扎根”动画；同时协助用户拍摄种植现场照片，上传至线上思念故事馆；纪念互动区布置：设置“思念墙”（2m×1.5m），提供马克笔、便签纸，用户可写下思念话语贴在墙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延伸互动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思念墙互动：用户可写下思念话语贴在墙上，现场工作人员协助拍照上传至线上思念故事馆，墙上内容定期整理打印，制作成“思念纪念册”在线上平台展示；2. 种植养护日：每月最后一个周末组织“种植养护日”，用户可通过APP预约回访，养护自己种下的种子（工作人员提供浇水、施肥工具），养护完成后扫描二维码同步更新线上虚拟植物生长状态（如长出新叶）；3. 季节纪念活动：春季（发芽季）、秋季（收获季）组织主题纪念活动，邀请用户回到种植区，分享种子生长情况与自身成长感悟，现场拍摄纪念视频上传至线上回顾区。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（二）第二层：《朽壤生花，向死而生》—— 生命体验馆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活动地点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核心城市核心商圈的临时场馆（如购物中心中庭、艺术展馆），总占地面积约100㎡，按“体验动线单向循环”原则规划分区，避免人群拥挤，具体分区：① 入口迎宾区（10㎡）；② VR体验区（25㎡）；③ 装置艺术区（30㎡）；④ 沙龙分享区（25㎡）；⑤ 出口纪念区（10㎡）。整体采用暗色调打底，搭配暖光照明，营造沉浸式、有仪式感的氛围，入口处设置活动主题展板，标注体验流程。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活动内容</w:t>
      </w:r>
      <w:bookmarkEnd w:id="1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VR体验区（25㎡）</w:t>
      </w:r>
      <w:r>
        <w:rPr>
          <w:rFonts w:eastAsia="等线" w:ascii="Arial" w:cs="Arial" w:hAnsi="Arial"/>
          <w:sz w:val="22"/>
        </w:rPr>
        <w:t>：① 功能定位：通过VR技术模拟生命历程，引发用户对生命的思考；② 设备配置：5台VR设备（含头显、手柄），配备消毒棉片、一次性头套（卫生保障）；③ 体验流程：用户佩戴VR设备→工作人员讲解操作方法→开始体验（15分钟/人），模拟“从婴儿啼哭到年老回望”的关键人生节点→体验结束后，引导至旁边的“感悟记录台”，写下体验感悟（将同步至APP“我的生命感悟”）；人员配置：2名VR设备操作指导人员+1名感悟引导人员；安全保障：每个体验位设置防滑垫、安全围栏，防止用户体验时摔倒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装置艺术区（30㎡）</w:t>
      </w:r>
      <w:r>
        <w:rPr>
          <w:rFonts w:eastAsia="等线" w:ascii="Arial" w:cs="Arial" w:hAnsi="Arial"/>
          <w:sz w:val="22"/>
        </w:rPr>
        <w:t>：① 核心装置：“朽壤生花”主装置（直径3m，高2m），以深色朽壤为基底，插入干枯树枝，用户可领取不同颜色的仿真花（对应线上生命之花颜色）；② 体验流程：用户领取仿真花→在“思考卡”上写下对“生命价值”的思考→将思考卡放入装置底部的收纳盒→亲手将仿真花插入装置中，象征“死亡之上的生命希望”→扫描装置上的二维码，线上虚拟“生命花田”解锁对应花朵；布置细节：装置周围铺设深色地毯，墙面投影生命相关的动态画面（如种子发芽、蝴蝶破茧）；人员配置：1名物料发放人员+1名引导人员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沙龙分享区（25㎡）</w:t>
      </w:r>
      <w:r>
        <w:rPr>
          <w:rFonts w:eastAsia="等线" w:ascii="Arial" w:cs="Arial" w:hAnsi="Arial"/>
          <w:sz w:val="22"/>
        </w:rPr>
        <w:t>：① 功能定位：通过专家分享与用户互动，深化死亡认知；② 布置配置：摆放30个舒适座椅，设置演讲台、投影设备、麦克风，前方设置小型茶歇区（提供温水、小点心）；③ 流程安排：专家分享（20分钟）→用户提问互动（20分钟）→小组讨论（5分钟）；专家配置：心理学专家/生命教育学者（1名）+临终关怀志愿者（1名，分享真实案例）；线上联动：现场设置直播设备，线上用户可通过APP观看直播、留言提问，工作人员实时筛选问题提交给专家；人员配置：1名主持人+1名直播操作人员+1名茶歇服务人员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入口迎宾区&amp;出口纪念区</w:t>
      </w:r>
      <w:r>
        <w:rPr>
          <w:rFonts w:eastAsia="等线" w:ascii="Arial" w:cs="Arial" w:hAnsi="Arial"/>
          <w:sz w:val="22"/>
        </w:rPr>
        <w:t>：① 入口迎宾区：2名迎宾人员引导用户签到核销（出示线上预约码），发放体验手册（含活动介绍、专家信息）；② 出口纪念区：用户体验结束后，领取“向死而生”纪念徽章，工作人员协助拍摄纪念照，引导用户分享至社交平台，同步至线上活动回顾区。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（三）第三层：《虬枝焕青，向新而行》—— 成长实践营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活动地点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根据活动主题选择不同场地，确保场地适配活动形式，具体分为3类场地及对应分区：① 户外拓展基地（成长任务实践专用，占地面积约200㎡）：分区为“任务讲解区”“实践挑战区”“休息补给区”；② 手工工作室（手工创作类活动专用，占地面积约80㎡）：分区为“材料准备区”“创作体验区”“作品展示区”；③ 社区活动中心（分享类活动专用，占地面积约100㎡）：分区为“签到区”“分享交流区”“茶歇区”。所有场地提前检查安全设施，张贴活动主题装饰，营造积极向上的氛围。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 活动形式</w:t>
      </w:r>
      <w:bookmarkEnd w:id="22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成长任务实践（户外拓展基地）</w:t>
      </w:r>
      <w:r>
        <w:rPr>
          <w:rFonts w:eastAsia="等线" w:ascii="Arial" w:cs="Arial" w:hAnsi="Arial"/>
          <w:sz w:val="22"/>
        </w:rPr>
        <w:t>：① 任务讲解区（20㎡）：工作人员（2名）讲解任务规则（如户外徒步需完成3个打卡点任务：“分享成长目标”“帮助他人”“记录自然美景”），发放任务卡、打卡设备（手环式打卡器）；② 实践挑战区（150㎡）：按任务路线设置打卡点，每个打卡点配备1名引导人员，协助用户完成任务、记录进度；③ 休息补给区（30㎡）：提供温水、能量食品（如巧克力、坚果），设置临时医疗点（配备急救包、医护人员1名）；任务完成后：用户返回任务讲解区，工作人员核销任务卡，通过APP发放“成长勋章”，解锁线上“成长森林”的青枝元素；人员配置：总负责人1名+引导人员3名+医护人员1名+后勤人员2名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“虬枝焕青”集体创作（手工工作室）</w:t>
      </w:r>
      <w:r>
        <w:rPr>
          <w:rFonts w:eastAsia="等线" w:ascii="Arial" w:cs="Arial" w:hAnsi="Arial"/>
          <w:sz w:val="22"/>
        </w:rPr>
        <w:t>：① 材料准备区（20㎡）：工作人员（2名）发放创作材料（大型画板/木质装置、颜料、画笔、调色盘），讲解创作要求（每人绘制一根“青枝”，可融入自己的成长符号）；② 创作体验区（50㎡）：设置10个创作工位，播放轻松的音乐，工作人员（2名）巡回指导，帮助用户完成创作；③ 作品展示区（10㎡）：创作完成后，将所有“青枝”组装成“成长之树”，摆放至展示区，用户在作品旁贴上自己的昵称标签；后续联动：工作人员拍摄“成长之树”完整照片，同步至线上社区，生成“集体成长记忆”，作品后续可在商圈、社区进行巡回展览；人员配置：1名创作指导老师+3名工作人员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成长分享会（社区活动中心）</w:t>
      </w:r>
      <w:r>
        <w:rPr>
          <w:rFonts w:eastAsia="等线" w:ascii="Arial" w:cs="Arial" w:hAnsi="Arial"/>
          <w:sz w:val="22"/>
        </w:rPr>
        <w:t>：① 签到区（10㎡）：2名工作人员引导用户签到，发放分享号码牌、笔记本；② 分享交流区（70㎡）：设置演讲台、麦克风，用户按号码牌顺序分享自己的蜕变经历（每人3-5分钟），主持人（1名）引导互动，鼓励其他用户提问、点赞；③ 茶歇区（20㎡）：提供温水、茶点，供用户休息交流；视频记录：工作人员（1名）现场录制短视频，经用户同意后上传至APP“蜕变故事库”，剪辑精彩片段生成“成长集锦”用于传播；人员配置：1名主持人+2名签到工作人员+1名视频录制人员+1名茶歇服务人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四、线上线下联动核心机制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1. 数据互通：构建“线上记录-线下实践-线上沉淀”闭环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采集分区适配：线上平台按“功能分区”采集数据（如思念故事创作区采集发布量、互动量，虚拟种植区采集养护次数），线下活动按“场地分区”采集数据（如签到核销区采集预约核销率，种植区采集参与完成率）；2. 同步机制：线下各分区设置专属二维码/打卡设备，用户完成对应体验后（如种植、插花、任务完成），通过扫码/打卡将数据同步至线上对应功能分区，自动解锁虚拟内容（种子生长、花朵绽放、青枝解锁）；3. 沉淀逻辑：所有数据最终汇总至个人中心“生命成长档案管理区”，按“情感抒发-认知提升-实践成长”分类整理，生成可视化成长轨迹，让体验可追溯、可回顾。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2. 流量互导：线上预热引流，线下反哺线上传播</w:t>
      </w:r>
      <w:bookmarkEnd w:id="2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线上引流：① 功能分区联动：通过首页主题视觉区、活动指引区重点展示线下活动，在各主题模块（如思念扎根、朽壤生花）的预约分区设置“热门活动推荐”；② 内容引流：社区传播模块发布线下活动精彩预告、用户过往参与故事，专家互动专区通过直播预告引导用户预约线下沙龙；③ 社交引流：鼓励用户分享线上预约凭证至社交平台，可获得“线下活动优先入场权”。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线下反哺：① 场地分区引流：线下各分区（如签到区、纪念互动区、出口纪念区）设置线上平台二维码，引导用户扫码关注、注册；② 内容反哺：线下活动各分区的精彩瞬间（如思念分享、集体创作）由工作人员拍摄整理，同步至线上活动回顾区、社区模块，丰富线上内容生态；③ 传播反哺：引导用户在社交平台发布线下参与体验（带活动话题+线上平台链接），为线上平台带来新流量；现场设置“分享有礼”环节，分享后可领取小纪念品。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3. 情感共鸣：线上抒发+线下共情，强化体验深度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先通过线上平台抒发情感（发布思念故事、记录生命感悟），再参与线下沉浸式活动获得情感共鸣与治愈，最后回到线上分享体验、沉淀成长，形成“情感抒发-共情治愈-成长沉淀”的完整链路，强化活动的情感价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五、视觉与交互设计核心原则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1. 视觉风格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整体采用“温暖治愈”的基调，按“线上功能分区+线下场地分区”适配视觉元素，确保风格统一：1. 线上功能分区视觉：① 思念扎根相关分区（故事创作、虚拟种植）：以浅棕色（土壤）、嫩绿色（种子嫩芽）为主，搭配叶脉纹理背景；② 朽壤生花相关分区（时光轴、轻课堂）：以深棕色（朽壤）、粉色/白色（花朵）为主，搭配枯枝纹理背景；③ 虬枝焕青相关分区（成长目标、虚拟森林）：以深绿色（虬枝）、亮绿色（新叶）为主，搭配树皮纹理背景；④ 公共分区（首页、社区、个人中心）：以米白为底色，融入浅绿、浅棕点缀。2. 线下场地分区视觉：① 思念种植区：以自然绿植、木质装饰为主，暖光照明；② 生命体验馆：暗色调打底，暖光聚焦核心装置，投影动态生命元素；③ 成长实践营：明亮色调，搭配彩色创作材料、成长主题海报；所有线下分区统一使用活动LOGO、主题Slogan标识，强化品牌认知。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2. 交互设计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线上交互设计（按功能分区优化）：① 情感抒发类分区（故事创作、时光轴）：交互简洁，提供丰富的编辑模板，支持语音输入、自动保存，降低创作门槛；② 互动类分区（虚拟种植、成长森林）：采用“轻量化动画+点击反馈”，如点击浇水按钮有水滴动画，解锁元素时有闪烁效果；③ 预约类分区（线下活动预约）：流程简化，减少填写字段，支持一键选择常用信息（如常用地址、联系人）；④ 社区类分区：评论、点赞按钮突出，分享流程一步完成，支持生成专属海报。2. 线下交互设计（按场地分区优化）：① 体验类分区（VR体验、装置艺术）：设置清晰的操作指引牌，工作人员一对一指导，确保用户理解规则；② 分享类分区（思念引导、沙龙分享）：营造轻松氛围，鼓励自愿参与，避免强迫互动；③ 流程类分区（签到、核销）：设置多通道，减少排队时间，配备工作人员协助操作；所有线下分区设置明显的动线指引标识，确保用户按流程顺畅体验。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六、传播推广策略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1. 前期预热（活动前2周）</w:t>
      </w:r>
      <w:bookmarkEnd w:id="3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：通过微信公众号、微博、抖音发布活动主题海报、预热视频（讲述“思念与成长”的真实故事），发起#以生之名，向光而行#话题讨论；网页/APP开启预约通道，推出“早鸟预约专属福利”（如定制纪念标签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线下：在核心城市商圈、社区、医院（临终关怀科）张贴海报，与公益组织合作推广，触达有相关情感需求的人群。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2. 中期执行（活动期间）</w:t>
      </w:r>
      <w:bookmarkEnd w:id="32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线上：实时发布线下活动精彩照片、视频，推送用户真实故事；专家直播答疑引流；鼓励用户分享个人体验，形成UGC传播；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线下：活动现场设置“打卡点”，引导用户拍照分享至社交平台；与本地媒体合作，报道活动盛况。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 后期沉淀（活动后1周）</w:t>
      </w:r>
      <w:bookmarkEnd w:id="3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线上：发布活动总结视频、用户成长故事集锦；将线下集体创作作品、思念墙照片整理上传至APP，形成“活动记忆库”；持续运营社区，鼓励用户分享后续成长动态；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线下：将“思念种植区”“成长之树”作为长期纪念场地，定期组织回访活动；发布活动影响力报告（如参与人数、用户反馈、社会评价），提升活动公益价值与品牌影响力。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七、保障措施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1. 情感支持保障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线上线下均配备专业心理咨询师，针对有强烈情感波动的用户提供一对一疏导；活动环节设计避免过度刺激，以“温柔引导”为主。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2. 安全保障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线下活动场地配备急救人员与急救设备；严格把控参与人数，避免人群聚集；线上平台保障用户隐私，匿名发布功能确保用户信息安全。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3. 技术保障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线上平台提前进行压力测试，确保活动期间系统稳定；安排技术人员实时监控，及时解决突发技术问题；线下互动设备（VR设备、二维码核销系统）提前调试，确保正常使用。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八、活动目标</w:t>
      </w:r>
      <w:bookmarkEnd w:id="3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情感价值：为用户提供释放思念、正视死亡、拥抱成长的情感出口，传递温暖治愈的价值观；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传播价值：线上线下累计参与人数突破10万，相关话题社交平台阅读量突破500万，形成正向社会讨论；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品牌价值：提升活动发起方的公益形象与社会责任感，强化“关注生命成长”的品牌认知。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3343">
    <w:lvl>
      <w:numFmt w:val="bullet"/>
      <w:suff w:val="tab"/>
      <w:lvlText w:val="•"/>
      <w:rPr>
        <w:color w:val="3370ff"/>
      </w:rPr>
    </w:lvl>
  </w:abstractNum>
  <w:abstractNum w:abstractNumId="383344">
    <w:lvl>
      <w:numFmt w:val="bullet"/>
      <w:suff w:val="tab"/>
      <w:lvlText w:val="•"/>
      <w:rPr>
        <w:color w:val="3370ff"/>
      </w:rPr>
    </w:lvl>
  </w:abstractNum>
  <w:abstractNum w:abstractNumId="383345">
    <w:lvl>
      <w:numFmt w:val="bullet"/>
      <w:suff w:val="tab"/>
      <w:lvlText w:val="•"/>
      <w:rPr>
        <w:color w:val="3370ff"/>
      </w:rPr>
    </w:lvl>
  </w:abstractNum>
  <w:abstractNum w:abstractNumId="383346">
    <w:lvl>
      <w:numFmt w:val="bullet"/>
      <w:suff w:val="tab"/>
      <w:lvlText w:val="•"/>
      <w:rPr>
        <w:color w:val="3370ff"/>
      </w:rPr>
    </w:lvl>
  </w:abstractNum>
  <w:abstractNum w:abstractNumId="383347">
    <w:lvl>
      <w:numFmt w:val="bullet"/>
      <w:suff w:val="tab"/>
      <w:lvlText w:val="•"/>
      <w:rPr>
        <w:color w:val="3370ff"/>
      </w:rPr>
    </w:lvl>
  </w:abstractNum>
  <w:abstractNum w:abstractNumId="383348">
    <w:lvl>
      <w:numFmt w:val="bullet"/>
      <w:suff w:val="tab"/>
      <w:lvlText w:val="•"/>
      <w:rPr>
        <w:color w:val="3370ff"/>
      </w:rPr>
    </w:lvl>
  </w:abstractNum>
  <w:abstractNum w:abstractNumId="383349">
    <w:lvl>
      <w:numFmt w:val="bullet"/>
      <w:suff w:val="tab"/>
      <w:lvlText w:val="•"/>
      <w:rPr>
        <w:color w:val="3370ff"/>
      </w:rPr>
    </w:lvl>
  </w:abstractNum>
  <w:abstractNum w:abstractNumId="383350">
    <w:lvl>
      <w:numFmt w:val="bullet"/>
      <w:suff w:val="tab"/>
      <w:lvlText w:val="•"/>
      <w:rPr>
        <w:color w:val="3370ff"/>
      </w:rPr>
    </w:lvl>
  </w:abstractNum>
  <w:abstractNum w:abstractNumId="383351">
    <w:lvl>
      <w:numFmt w:val="bullet"/>
      <w:suff w:val="tab"/>
      <w:lvlText w:val="•"/>
      <w:rPr>
        <w:color w:val="3370ff"/>
      </w:rPr>
    </w:lvl>
  </w:abstractNum>
  <w:abstractNum w:abstractNumId="383352">
    <w:lvl>
      <w:numFmt w:val="bullet"/>
      <w:suff w:val="tab"/>
      <w:lvlText w:val="•"/>
      <w:rPr>
        <w:color w:val="3370ff"/>
      </w:rPr>
    </w:lvl>
  </w:abstractNum>
  <w:abstractNum w:abstractNumId="383353">
    <w:lvl>
      <w:numFmt w:val="bullet"/>
      <w:suff w:val="tab"/>
      <w:lvlText w:val="•"/>
      <w:rPr>
        <w:color w:val="3370ff"/>
      </w:rPr>
    </w:lvl>
  </w:abstractNum>
  <w:abstractNum w:abstractNumId="383354">
    <w:lvl>
      <w:numFmt w:val="bullet"/>
      <w:suff w:val="tab"/>
      <w:lvlText w:val="•"/>
      <w:rPr>
        <w:color w:val="3370ff"/>
      </w:rPr>
    </w:lvl>
  </w:abstractNum>
  <w:abstractNum w:abstractNumId="383355">
    <w:lvl>
      <w:numFmt w:val="bullet"/>
      <w:suff w:val="tab"/>
      <w:lvlText w:val="•"/>
      <w:rPr>
        <w:color w:val="3370ff"/>
      </w:rPr>
    </w:lvl>
  </w:abstractNum>
  <w:abstractNum w:abstractNumId="383356">
    <w:lvl>
      <w:numFmt w:val="bullet"/>
      <w:suff w:val="tab"/>
      <w:lvlText w:val="•"/>
      <w:rPr>
        <w:color w:val="3370ff"/>
      </w:rPr>
    </w:lvl>
  </w:abstractNum>
  <w:abstractNum w:abstractNumId="383357">
    <w:lvl>
      <w:numFmt w:val="bullet"/>
      <w:suff w:val="tab"/>
      <w:lvlText w:val="•"/>
      <w:rPr>
        <w:color w:val="3370ff"/>
      </w:rPr>
    </w:lvl>
  </w:abstractNum>
  <w:abstractNum w:abstractNumId="383358">
    <w:lvl>
      <w:numFmt w:val="bullet"/>
      <w:suff w:val="tab"/>
      <w:lvlText w:val="•"/>
      <w:rPr>
        <w:color w:val="3370ff"/>
      </w:rPr>
    </w:lvl>
  </w:abstractNum>
  <w:abstractNum w:abstractNumId="383359">
    <w:lvl>
      <w:numFmt w:val="bullet"/>
      <w:suff w:val="tab"/>
      <w:lvlText w:val="•"/>
      <w:rPr>
        <w:color w:val="3370ff"/>
      </w:rPr>
    </w:lvl>
  </w:abstractNum>
  <w:abstractNum w:abstractNumId="383360">
    <w:lvl>
      <w:numFmt w:val="bullet"/>
      <w:suff w:val="tab"/>
      <w:lvlText w:val="•"/>
      <w:rPr>
        <w:color w:val="3370ff"/>
      </w:rPr>
    </w:lvl>
  </w:abstractNum>
  <w:abstractNum w:abstractNumId="383361">
    <w:lvl>
      <w:numFmt w:val="bullet"/>
      <w:suff w:val="tab"/>
      <w:lvlText w:val="•"/>
      <w:rPr>
        <w:color w:val="3370ff"/>
      </w:rPr>
    </w:lvl>
  </w:abstractNum>
  <w:abstractNum w:abstractNumId="383362">
    <w:lvl>
      <w:numFmt w:val="bullet"/>
      <w:suff w:val="tab"/>
      <w:lvlText w:val="•"/>
      <w:rPr>
        <w:color w:val="3370ff"/>
      </w:rPr>
    </w:lvl>
  </w:abstractNum>
  <w:abstractNum w:abstractNumId="383363">
    <w:lvl>
      <w:numFmt w:val="bullet"/>
      <w:suff w:val="tab"/>
      <w:lvlText w:val="•"/>
      <w:rPr>
        <w:color w:val="3370ff"/>
      </w:rPr>
    </w:lvl>
  </w:abstractNum>
  <w:abstractNum w:abstractNumId="383364">
    <w:lvl>
      <w:numFmt w:val="bullet"/>
      <w:suff w:val="tab"/>
      <w:lvlText w:val="•"/>
      <w:rPr>
        <w:color w:val="3370ff"/>
      </w:rPr>
    </w:lvl>
  </w:abstractNum>
  <w:abstractNum w:abstractNumId="383365">
    <w:lvl>
      <w:numFmt w:val="bullet"/>
      <w:suff w:val="tab"/>
      <w:lvlText w:val="•"/>
      <w:rPr>
        <w:color w:val="3370ff"/>
      </w:rPr>
    </w:lvl>
  </w:abstractNum>
  <w:abstractNum w:abstractNumId="383366">
    <w:lvl>
      <w:numFmt w:val="bullet"/>
      <w:suff w:val="tab"/>
      <w:lvlText w:val="•"/>
      <w:rPr>
        <w:color w:val="3370ff"/>
      </w:rPr>
    </w:lvl>
  </w:abstractNum>
  <w:abstractNum w:abstractNumId="383367">
    <w:lvl>
      <w:numFmt w:val="bullet"/>
      <w:suff w:val="tab"/>
      <w:lvlText w:val="•"/>
      <w:rPr>
        <w:color w:val="3370ff"/>
      </w:rPr>
    </w:lvl>
  </w:abstractNum>
  <w:abstractNum w:abstractNumId="383368">
    <w:lvl>
      <w:numFmt w:val="bullet"/>
      <w:suff w:val="tab"/>
      <w:lvlText w:val="•"/>
      <w:rPr>
        <w:color w:val="3370ff"/>
      </w:rPr>
    </w:lvl>
  </w:abstractNum>
  <w:abstractNum w:abstractNumId="383369">
    <w:lvl>
      <w:numFmt w:val="bullet"/>
      <w:suff w:val="tab"/>
      <w:lvlText w:val="•"/>
      <w:rPr>
        <w:color w:val="3370ff"/>
      </w:rPr>
    </w:lvl>
  </w:abstractNum>
  <w:abstractNum w:abstractNumId="383370">
    <w:lvl>
      <w:numFmt w:val="bullet"/>
      <w:suff w:val="tab"/>
      <w:lvlText w:val="•"/>
      <w:rPr>
        <w:color w:val="3370ff"/>
      </w:rPr>
    </w:lvl>
  </w:abstractNum>
  <w:abstractNum w:abstractNumId="383371">
    <w:lvl>
      <w:numFmt w:val="bullet"/>
      <w:suff w:val="tab"/>
      <w:lvlText w:val="•"/>
      <w:rPr>
        <w:color w:val="3370ff"/>
      </w:rPr>
    </w:lvl>
  </w:abstractNum>
  <w:abstractNum w:abstractNumId="383372">
    <w:lvl>
      <w:numFmt w:val="bullet"/>
      <w:suff w:val="tab"/>
      <w:lvlText w:val="•"/>
      <w:rPr>
        <w:color w:val="3370ff"/>
      </w:rPr>
    </w:lvl>
  </w:abstractNum>
  <w:abstractNum w:abstractNumId="383373">
    <w:lvl>
      <w:numFmt w:val="bullet"/>
      <w:suff w:val="tab"/>
      <w:lvlText w:val="•"/>
      <w:rPr>
        <w:color w:val="3370ff"/>
      </w:rPr>
    </w:lvl>
  </w:abstractNum>
  <w:abstractNum w:abstractNumId="383374">
    <w:lvl>
      <w:numFmt w:val="bullet"/>
      <w:suff w:val="tab"/>
      <w:lvlText w:val="•"/>
      <w:rPr>
        <w:color w:val="3370ff"/>
      </w:rPr>
    </w:lvl>
  </w:abstractNum>
  <w:abstractNum w:abstractNumId="383375">
    <w:lvl>
      <w:numFmt w:val="bullet"/>
      <w:suff w:val="tab"/>
      <w:lvlText w:val="•"/>
      <w:rPr>
        <w:color w:val="3370ff"/>
      </w:rPr>
    </w:lvl>
  </w:abstractNum>
  <w:abstractNum w:abstractNumId="383376">
    <w:lvl>
      <w:numFmt w:val="bullet"/>
      <w:suff w:val="tab"/>
      <w:lvlText w:val="•"/>
      <w:rPr>
        <w:color w:val="3370ff"/>
      </w:rPr>
    </w:lvl>
  </w:abstractNum>
  <w:abstractNum w:abstractNumId="383377">
    <w:lvl>
      <w:numFmt w:val="bullet"/>
      <w:suff w:val="tab"/>
      <w:lvlText w:val="•"/>
      <w:rPr>
        <w:color w:val="3370ff"/>
      </w:rPr>
    </w:lvl>
  </w:abstractNum>
  <w:abstractNum w:abstractNumId="383378">
    <w:lvl>
      <w:numFmt w:val="bullet"/>
      <w:suff w:val="tab"/>
      <w:lvlText w:val="•"/>
      <w:rPr>
        <w:color w:val="3370ff"/>
      </w:rPr>
    </w:lvl>
  </w:abstractNum>
  <w:abstractNum w:abstractNumId="383379">
    <w:lvl>
      <w:numFmt w:val="bullet"/>
      <w:suff w:val="tab"/>
      <w:lvlText w:val="•"/>
      <w:rPr>
        <w:color w:val="3370ff"/>
      </w:rPr>
    </w:lvl>
  </w:abstractNum>
  <w:abstractNum w:abstractNumId="383380">
    <w:lvl>
      <w:numFmt w:val="bullet"/>
      <w:suff w:val="tab"/>
      <w:lvlText w:val="•"/>
      <w:rPr>
        <w:color w:val="3370ff"/>
      </w:rPr>
    </w:lvl>
  </w:abstractNum>
  <w:abstractNum w:abstractNumId="383381">
    <w:lvl>
      <w:numFmt w:val="bullet"/>
      <w:suff w:val="tab"/>
      <w:lvlText w:val="•"/>
      <w:rPr>
        <w:color w:val="3370ff"/>
      </w:rPr>
    </w:lvl>
  </w:abstractNum>
  <w:abstractNum w:abstractNumId="383382">
    <w:lvl>
      <w:numFmt w:val="bullet"/>
      <w:suff w:val="tab"/>
      <w:lvlText w:val="•"/>
      <w:rPr>
        <w:color w:val="3370ff"/>
      </w:rPr>
    </w:lvl>
  </w:abstractNum>
  <w:abstractNum w:abstractNumId="383383">
    <w:lvl>
      <w:numFmt w:val="bullet"/>
      <w:suff w:val="tab"/>
      <w:lvlText w:val="•"/>
      <w:rPr>
        <w:color w:val="3370ff"/>
      </w:rPr>
    </w:lvl>
  </w:abstractNum>
  <w:abstractNum w:abstractNumId="383384">
    <w:lvl>
      <w:numFmt w:val="bullet"/>
      <w:suff w:val="tab"/>
      <w:lvlText w:val="•"/>
      <w:rPr>
        <w:color w:val="3370ff"/>
      </w:rPr>
    </w:lvl>
  </w:abstractNum>
  <w:abstractNum w:abstractNumId="383385">
    <w:lvl>
      <w:numFmt w:val="bullet"/>
      <w:suff w:val="tab"/>
      <w:lvlText w:val="•"/>
      <w:rPr>
        <w:color w:val="3370ff"/>
      </w:rPr>
    </w:lvl>
  </w:abstractNum>
  <w:abstractNum w:abstractNumId="383386">
    <w:lvl>
      <w:numFmt w:val="bullet"/>
      <w:suff w:val="tab"/>
      <w:lvlText w:val="•"/>
      <w:rPr>
        <w:color w:val="3370ff"/>
      </w:rPr>
    </w:lvl>
  </w:abstractNum>
  <w:abstractNum w:abstractNumId="383387">
    <w:lvl>
      <w:numFmt w:val="bullet"/>
      <w:suff w:val="tab"/>
      <w:lvlText w:val="•"/>
      <w:rPr>
        <w:color w:val="3370ff"/>
      </w:rPr>
    </w:lvl>
  </w:abstractNum>
  <w:abstractNum w:abstractNumId="383388">
    <w:lvl>
      <w:numFmt w:val="bullet"/>
      <w:suff w:val="tab"/>
      <w:lvlText w:val="•"/>
      <w:rPr>
        <w:color w:val="3370ff"/>
      </w:rPr>
    </w:lvl>
  </w:abstractNum>
  <w:abstractNum w:abstractNumId="383389">
    <w:lvl>
      <w:numFmt w:val="bullet"/>
      <w:suff w:val="tab"/>
      <w:lvlText w:val="•"/>
      <w:rPr>
        <w:color w:val="3370ff"/>
      </w:rPr>
    </w:lvl>
  </w:abstractNum>
  <w:abstractNum w:abstractNumId="383390">
    <w:lvl>
      <w:numFmt w:val="bullet"/>
      <w:suff w:val="tab"/>
      <w:lvlText w:val="•"/>
      <w:rPr>
        <w:color w:val="3370ff"/>
      </w:rPr>
    </w:lvl>
  </w:abstractNum>
  <w:abstractNum w:abstractNumId="383391">
    <w:lvl>
      <w:start w:val="1"/>
      <w:numFmt w:val="decimal"/>
      <w:suff w:val="tab"/>
      <w:lvlText w:val="%1."/>
      <w:rPr>
        <w:color w:val="3370ff"/>
      </w:rPr>
    </w:lvl>
  </w:abstractNum>
  <w:abstractNum w:abstractNumId="383392">
    <w:lvl>
      <w:start w:val="2"/>
      <w:numFmt w:val="decimal"/>
      <w:suff w:val="tab"/>
      <w:lvlText w:val="%1."/>
      <w:rPr>
        <w:color w:val="3370ff"/>
      </w:rPr>
    </w:lvl>
  </w:abstractNum>
  <w:abstractNum w:abstractNumId="38339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83343"/>
  </w:num>
  <w:num w:numId="2">
    <w:abstractNumId w:val="383344"/>
  </w:num>
  <w:num w:numId="3">
    <w:abstractNumId w:val="383345"/>
  </w:num>
  <w:num w:numId="4">
    <w:abstractNumId w:val="383346"/>
  </w:num>
  <w:num w:numId="5">
    <w:abstractNumId w:val="383347"/>
  </w:num>
  <w:num w:numId="6">
    <w:abstractNumId w:val="383348"/>
  </w:num>
  <w:num w:numId="7">
    <w:abstractNumId w:val="383349"/>
  </w:num>
  <w:num w:numId="8">
    <w:abstractNumId w:val="383350"/>
  </w:num>
  <w:num w:numId="9">
    <w:abstractNumId w:val="383351"/>
  </w:num>
  <w:num w:numId="10">
    <w:abstractNumId w:val="383352"/>
  </w:num>
  <w:num w:numId="11">
    <w:abstractNumId w:val="383353"/>
  </w:num>
  <w:num w:numId="12">
    <w:abstractNumId w:val="383354"/>
  </w:num>
  <w:num w:numId="13">
    <w:abstractNumId w:val="383355"/>
  </w:num>
  <w:num w:numId="14">
    <w:abstractNumId w:val="383356"/>
  </w:num>
  <w:num w:numId="15">
    <w:abstractNumId w:val="383357"/>
  </w:num>
  <w:num w:numId="16">
    <w:abstractNumId w:val="383358"/>
  </w:num>
  <w:num w:numId="17">
    <w:abstractNumId w:val="383359"/>
  </w:num>
  <w:num w:numId="18">
    <w:abstractNumId w:val="383360"/>
  </w:num>
  <w:num w:numId="19">
    <w:abstractNumId w:val="383361"/>
  </w:num>
  <w:num w:numId="20">
    <w:abstractNumId w:val="383362"/>
  </w:num>
  <w:num w:numId="21">
    <w:abstractNumId w:val="383363"/>
  </w:num>
  <w:num w:numId="22">
    <w:abstractNumId w:val="383364"/>
  </w:num>
  <w:num w:numId="23">
    <w:abstractNumId w:val="383365"/>
  </w:num>
  <w:num w:numId="24">
    <w:abstractNumId w:val="383366"/>
  </w:num>
  <w:num w:numId="25">
    <w:abstractNumId w:val="383367"/>
  </w:num>
  <w:num w:numId="26">
    <w:abstractNumId w:val="383368"/>
  </w:num>
  <w:num w:numId="27">
    <w:abstractNumId w:val="383369"/>
  </w:num>
  <w:num w:numId="28">
    <w:abstractNumId w:val="383370"/>
  </w:num>
  <w:num w:numId="29">
    <w:abstractNumId w:val="383371"/>
  </w:num>
  <w:num w:numId="30">
    <w:abstractNumId w:val="383372"/>
  </w:num>
  <w:num w:numId="31">
    <w:abstractNumId w:val="383373"/>
  </w:num>
  <w:num w:numId="32">
    <w:abstractNumId w:val="383374"/>
  </w:num>
  <w:num w:numId="33">
    <w:abstractNumId w:val="383375"/>
  </w:num>
  <w:num w:numId="34">
    <w:abstractNumId w:val="383376"/>
  </w:num>
  <w:num w:numId="35">
    <w:abstractNumId w:val="383377"/>
  </w:num>
  <w:num w:numId="36">
    <w:abstractNumId w:val="383378"/>
  </w:num>
  <w:num w:numId="37">
    <w:abstractNumId w:val="383379"/>
  </w:num>
  <w:num w:numId="38">
    <w:abstractNumId w:val="383380"/>
  </w:num>
  <w:num w:numId="39">
    <w:abstractNumId w:val="383381"/>
  </w:num>
  <w:num w:numId="40">
    <w:abstractNumId w:val="383382"/>
  </w:num>
  <w:num w:numId="41">
    <w:abstractNumId w:val="383383"/>
  </w:num>
  <w:num w:numId="42">
    <w:abstractNumId w:val="383384"/>
  </w:num>
  <w:num w:numId="43">
    <w:abstractNumId w:val="383385"/>
  </w:num>
  <w:num w:numId="44">
    <w:abstractNumId w:val="383386"/>
  </w:num>
  <w:num w:numId="45">
    <w:abstractNumId w:val="383387"/>
  </w:num>
  <w:num w:numId="46">
    <w:abstractNumId w:val="383388"/>
  </w:num>
  <w:num w:numId="47">
    <w:abstractNumId w:val="383389"/>
  </w:num>
  <w:num w:numId="48">
    <w:abstractNumId w:val="383390"/>
  </w:num>
  <w:num w:numId="49">
    <w:abstractNumId w:val="383391"/>
  </w:num>
  <w:num w:numId="50">
    <w:abstractNumId w:val="383392"/>
  </w:num>
  <w:num w:numId="51">
    <w:abstractNumId w:val="3833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2025-12-27T10:50:44Z</dcterms:created>
  <dc:creator>Apache POI</dc:creator>
</cp:coreProperties>
</file>