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11111"/>
          <w:sz w:val="44"/>
        </w:rPr>
        <w:t>Harness Engineering</w:t>
      </w:r>
    </w:p>
    <w:p>
      <w:pPr>
        <w:spacing w:after="160"/>
      </w:pPr>
      <w:r>
        <w:rPr>
          <w:rFonts w:ascii="Arial" w:hAnsi="Arial"/>
          <w:color w:val="555555"/>
          <w:sz w:val="22"/>
        </w:rPr>
        <w:t>Making AI agents safer, more repeatable and easier to trust</w:t>
      </w:r>
    </w:p>
    <w:tbl>
      <w:tblPr>
        <w:tblW w:type="auto" w:w="0"/>
        <w:jc w:val="center"/>
        <w:tblLook w:firstColumn="1" w:firstRow="1" w:lastColumn="0" w:lastRow="0" w:noHBand="0" w:noVBand="1" w:val="04A0"/>
      </w:tblPr>
      <w:tblGrid>
        <w:gridCol w:w="10368"/>
      </w:tblGrid>
      <w:tr>
        <w:tc>
          <w:tcPr>
            <w:tcW w:type="dxa" w:w="10368"/>
            <w:shd w:fill="EAF4FA"/>
            <w:tcBorders>
              <w:top w:val="single" w:sz="8" w:space="0" w:color="D9D9D9"/>
              <w:left w:val="single" w:sz="8" w:space="0" w:color="D9D9D9"/>
              <w:bottom w:val="single" w:sz="8" w:space="0" w:color="D9D9D9"/>
              <w:right w:val="single" w:sz="8" w:space="0" w:color="D9D9D9"/>
            </w:tcBorders>
            <w:vAlign w:val="center"/>
          </w:tcPr>
          <w:p>
            <w:pPr>
              <w:spacing w:before="100" w:after="100"/>
              <w:jc w:val="center"/>
            </w:pPr>
            <w:r>
              <w:rPr>
                <w:rFonts w:ascii="Arial" w:hAnsi="Arial"/>
                <w:b/>
                <w:color w:val="0B6A94"/>
                <w:sz w:val="24"/>
              </w:rPr>
              <w:t>Trust Engineering says what good looks like. Harness Engineering makes good the default operating path.</w:t>
            </w:r>
          </w:p>
        </w:tc>
      </w:tr>
    </w:tbl>
    <w:p>
      <w:pPr>
        <w:spacing w:after="40"/>
      </w:pPr>
    </w:p>
    <w:p>
      <w:pPr>
        <w:pStyle w:val="Heading1"/>
      </w:pPr>
      <w:r>
        <w:t>Why this matters</w:t>
      </w:r>
    </w:p>
    <w:p>
      <w:r>
        <w:t xml:space="preserve">As AI agents become part of delivery workflows, the question is no longer just “can the model produce an answer?” The better question is: </w:t>
      </w:r>
      <w:r>
        <w:rPr>
          <w:b/>
        </w:rPr>
        <w:t>can the system produce a controlled, verifiable outcome?</w:t>
      </w:r>
    </w:p>
    <w:p>
      <w:pPr>
        <w:pStyle w:val="Heading1"/>
      </w:pPr>
      <w:r>
        <w:t>Trust Engineering vs Harness Engineering</w:t>
      </w:r>
    </w:p>
    <w:tbl>
      <w:tblPr>
        <w:tblW w:type="auto" w:w="0"/>
        <w:jc w:val="center"/>
        <w:tblLook w:firstColumn="1" w:firstRow="1" w:lastColumn="0" w:lastRow="0" w:noHBand="0" w:noVBand="1" w:val="04A0"/>
      </w:tblPr>
      <w:tblGrid>
        <w:gridCol w:w="5184"/>
        <w:gridCol w:w="5184"/>
      </w:tblGrid>
      <w:tr>
        <w:tc>
          <w:tcPr>
            <w:tcW w:type="dxa" w:w="5184"/>
            <w:shd w:fill="0B6A94"/>
            <w:tcBorders>
              <w:top w:val="single" w:sz="8" w:space="0" w:color="FFFFFF"/>
              <w:left w:val="single" w:sz="8" w:space="0" w:color="FFFFFF"/>
              <w:bottom w:val="single" w:sz="8" w:space="0" w:color="FFFFFF"/>
              <w:right w:val="single" w:sz="8" w:space="0" w:color="FFFFFF"/>
            </w:tcBorders>
          </w:tcPr>
          <w:p>
            <w:pPr>
              <w:jc w:val="center"/>
            </w:pPr>
            <w:r>
              <w:rPr>
                <w:b/>
                <w:color w:val="FFFFFF"/>
                <w:sz w:val="22"/>
              </w:rPr>
              <w:t>Trust Engineering</w:t>
            </w:r>
          </w:p>
        </w:tc>
        <w:tc>
          <w:tcPr>
            <w:tcW w:type="dxa" w:w="5184"/>
            <w:shd w:fill="6F67B1"/>
            <w:tcBorders>
              <w:top w:val="single" w:sz="8" w:space="0" w:color="FFFFFF"/>
              <w:left w:val="single" w:sz="8" w:space="0" w:color="FFFFFF"/>
              <w:bottom w:val="single" w:sz="8" w:space="0" w:color="FFFFFF"/>
              <w:right w:val="single" w:sz="8" w:space="0" w:color="FFFFFF"/>
            </w:tcBorders>
          </w:tcPr>
          <w:p>
            <w:pPr>
              <w:jc w:val="center"/>
            </w:pPr>
            <w:r>
              <w:rPr>
                <w:b/>
                <w:color w:val="FFFFFF"/>
                <w:sz w:val="22"/>
              </w:rPr>
              <w:t>Harness Engineering</w:t>
            </w:r>
          </w:p>
        </w:tc>
      </w:tr>
      <w:tr>
        <w:tc>
          <w:tcPr>
            <w:tcW w:type="dxa" w:w="5184"/>
            <w:tcBorders>
              <w:top w:val="single" w:sz="8" w:space="0" w:color="D0D0D0"/>
              <w:left w:val="single" w:sz="8" w:space="0" w:color="D0D0D0"/>
              <w:bottom w:val="single" w:sz="8" w:space="0" w:color="D0D0D0"/>
              <w:right w:val="single" w:sz="8" w:space="0" w:color="D0D0D0"/>
            </w:tcBorders>
            <w:shd w:fill="FFFFFF"/>
            <w:vAlign w:val="top"/>
          </w:tcPr>
          <w:p>
            <w:pPr>
              <w:spacing w:after="60"/>
            </w:pPr>
            <w:r>
              <w:rPr>
                <w:rFonts w:ascii="Arial" w:hAnsi="Arial"/>
                <w:sz w:val="19"/>
              </w:rPr>
              <w:t>Defines what must be trusted: safety, reliability, explainability, privacy, fairness and oversight.</w:t>
            </w:r>
          </w:p>
        </w:tc>
        <w:tc>
          <w:tcPr>
            <w:tcW w:type="dxa" w:w="5184"/>
            <w:tcBorders>
              <w:top w:val="single" w:sz="8" w:space="0" w:color="D0D0D0"/>
              <w:left w:val="single" w:sz="8" w:space="0" w:color="D0D0D0"/>
              <w:bottom w:val="single" w:sz="8" w:space="0" w:color="D0D0D0"/>
              <w:right w:val="single" w:sz="8" w:space="0" w:color="D0D0D0"/>
            </w:tcBorders>
            <w:shd w:fill="FFFFFF"/>
            <w:vAlign w:val="top"/>
          </w:tcPr>
          <w:p>
            <w:pPr>
              <w:spacing w:after="60"/>
            </w:pPr>
            <w:r>
              <w:rPr>
                <w:rFonts w:ascii="Arial" w:hAnsi="Arial"/>
                <w:sz w:val="19"/>
              </w:rPr>
              <w:t>Designs the environment around the AI agent: trusted context, tools, boundaries, checks and feedback loops.</w:t>
            </w:r>
          </w:p>
        </w:tc>
      </w:tr>
      <w:tr>
        <w:tc>
          <w:tcPr>
            <w:tcW w:type="dxa" w:w="5184"/>
            <w:tcBorders>
              <w:top w:val="single" w:sz="8" w:space="0" w:color="D0D0D0"/>
              <w:left w:val="single" w:sz="8" w:space="0" w:color="D0D0D0"/>
              <w:bottom w:val="single" w:sz="8" w:space="0" w:color="D0D0D0"/>
              <w:right w:val="single" w:sz="8" w:space="0" w:color="D0D0D0"/>
            </w:tcBorders>
            <w:shd w:fill="FFFFFF"/>
            <w:vAlign w:val="top"/>
          </w:tcPr>
          <w:p>
            <w:pPr>
              <w:spacing w:after="60"/>
            </w:pPr>
            <w:r>
              <w:rPr>
                <w:rFonts w:ascii="Arial" w:hAnsi="Arial"/>
                <w:sz w:val="19"/>
              </w:rPr>
              <w:t>Asks: “Are we prepared for AI to be wrong?”</w:t>
            </w:r>
          </w:p>
        </w:tc>
        <w:tc>
          <w:tcPr>
            <w:tcW w:type="dxa" w:w="5184"/>
            <w:tcBorders>
              <w:top w:val="single" w:sz="8" w:space="0" w:color="D0D0D0"/>
              <w:left w:val="single" w:sz="8" w:space="0" w:color="D0D0D0"/>
              <w:bottom w:val="single" w:sz="8" w:space="0" w:color="D0D0D0"/>
              <w:right w:val="single" w:sz="8" w:space="0" w:color="D0D0D0"/>
            </w:tcBorders>
            <w:shd w:fill="FFFFFF"/>
            <w:vAlign w:val="top"/>
          </w:tcPr>
          <w:p>
            <w:pPr>
              <w:spacing w:after="60"/>
            </w:pPr>
            <w:r>
              <w:rPr>
                <w:rFonts w:ascii="Arial" w:hAnsi="Arial"/>
                <w:sz w:val="19"/>
              </w:rPr>
              <w:t>Asks: “How do we make the right behaviour repeatable?”</w:t>
            </w:r>
          </w:p>
        </w:tc>
      </w:tr>
      <w:tr>
        <w:tc>
          <w:tcPr>
            <w:tcW w:type="dxa" w:w="5184"/>
            <w:tcBorders>
              <w:top w:val="single" w:sz="8" w:space="0" w:color="D0D0D0"/>
              <w:left w:val="single" w:sz="8" w:space="0" w:color="D0D0D0"/>
              <w:bottom w:val="single" w:sz="8" w:space="0" w:color="D0D0D0"/>
              <w:right w:val="single" w:sz="8" w:space="0" w:color="D0D0D0"/>
            </w:tcBorders>
            <w:shd w:fill="FFFFFF"/>
            <w:vAlign w:val="top"/>
          </w:tcPr>
          <w:p>
            <w:pPr>
              <w:spacing w:after="60"/>
            </w:pPr>
            <w:r>
              <w:rPr>
                <w:rFonts w:ascii="Arial" w:hAnsi="Arial"/>
                <w:sz w:val="19"/>
              </w:rPr>
              <w:t>Keeps risk, governance and human judgement visible.</w:t>
            </w:r>
          </w:p>
        </w:tc>
        <w:tc>
          <w:tcPr>
            <w:tcW w:type="dxa" w:w="5184"/>
            <w:tcBorders>
              <w:top w:val="single" w:sz="8" w:space="0" w:color="D0D0D0"/>
              <w:left w:val="single" w:sz="8" w:space="0" w:color="D0D0D0"/>
              <w:bottom w:val="single" w:sz="8" w:space="0" w:color="D0D0D0"/>
              <w:right w:val="single" w:sz="8" w:space="0" w:color="D0D0D0"/>
            </w:tcBorders>
            <w:shd w:fill="FFFFFF"/>
            <w:vAlign w:val="top"/>
          </w:tcPr>
          <w:p>
            <w:pPr>
              <w:spacing w:after="60"/>
            </w:pPr>
            <w:r>
              <w:rPr>
                <w:rFonts w:ascii="Arial" w:hAnsi="Arial"/>
                <w:sz w:val="19"/>
              </w:rPr>
              <w:t>Turns guidance into enforceable workflow gates and evidence.</w:t>
            </w:r>
          </w:p>
        </w:tc>
      </w:tr>
    </w:tbl>
    <w:p>
      <w:pPr>
        <w:pStyle w:val="Heading1"/>
      </w:pPr>
      <w:r>
        <w:t>What is a harness?</w:t>
      </w:r>
    </w:p>
    <w:p>
      <w:r>
        <w:t>A harness is the operating layer around an AI agent. The model provides raw capability; the harness gives that capability structure. It supplies trusted context, controls what tools the agent can use, applies checks, records evidence, and decides when a human must step in.</w:t>
      </w:r>
    </w:p>
    <w:tbl>
      <w:tblPr>
        <w:tblW w:type="auto" w:w="0"/>
        <w:jc w:val="center"/>
        <w:tblLook w:firstColumn="1" w:firstRow="1" w:lastColumn="0" w:lastRow="0" w:noHBand="0" w:noVBand="1" w:val="04A0"/>
      </w:tblPr>
      <w:tblGrid>
        <w:gridCol w:w="10368"/>
      </w:tblGrid>
      <w:tr>
        <w:tc>
          <w:tcPr>
            <w:tcW w:type="dxa" w:w="10368"/>
            <w:shd w:fill="F2F2F2"/>
            <w:tcBorders>
              <w:top w:val="single" w:sz="8" w:space="0" w:color="D9D9D9"/>
              <w:left w:val="single" w:sz="8" w:space="0" w:color="D9D9D9"/>
              <w:bottom w:val="single" w:sz="8" w:space="0" w:color="D9D9D9"/>
              <w:right w:val="single" w:sz="8" w:space="0" w:color="D9D9D9"/>
            </w:tcBorders>
            <w:vAlign w:val="center"/>
          </w:tcPr>
          <w:p>
            <w:pPr>
              <w:spacing w:before="100" w:after="100"/>
              <w:jc w:val="center"/>
            </w:pPr>
            <w:r>
              <w:rPr>
                <w:rFonts w:ascii="Arial" w:hAnsi="Arial"/>
                <w:b/>
                <w:color w:val="0B6A94"/>
                <w:sz w:val="24"/>
              </w:rPr>
              <w:t>Prompting asks AI to be careful. Harness Engineering makes careful the default.</w:t>
            </w:r>
          </w:p>
        </w:tc>
      </w:tr>
    </w:tbl>
    <w:p>
      <w:pPr>
        <w:spacing w:after="40"/>
      </w:pPr>
    </w:p>
    <w:p>
      <w:pPr>
        <w:pStyle w:val="Heading1"/>
      </w:pPr>
      <w:r>
        <w:t>What the harness usually contains</w:t>
      </w:r>
    </w:p>
    <w:p>
      <w:pPr>
        <w:pStyle w:val="ListBullet"/>
        <w:spacing w:after="60"/>
      </w:pPr>
      <w:r>
        <w:rPr>
          <w:rFonts w:ascii="Arial" w:hAnsi="Arial"/>
          <w:sz w:val="21"/>
        </w:rPr>
        <w:t>Trusted context: approved documents, current requirements, examples and known constraints.</w:t>
      </w:r>
    </w:p>
    <w:p>
      <w:pPr>
        <w:pStyle w:val="ListBullet"/>
        <w:spacing w:after="60"/>
      </w:pPr>
      <w:r>
        <w:rPr>
          <w:rFonts w:ascii="Arial" w:hAnsi="Arial"/>
          <w:sz w:val="21"/>
        </w:rPr>
        <w:t>Tool permissions: what the agent can read, edit, call or execute.</w:t>
      </w:r>
    </w:p>
    <w:p>
      <w:pPr>
        <w:pStyle w:val="ListBullet"/>
        <w:spacing w:after="60"/>
      </w:pPr>
      <w:r>
        <w:rPr>
          <w:rFonts w:ascii="Arial" w:hAnsi="Arial"/>
          <w:sz w:val="21"/>
        </w:rPr>
        <w:t>Verification gates: tests, lint checks, security scans, citations, approvals or validation steps.</w:t>
      </w:r>
    </w:p>
    <w:p>
      <w:pPr>
        <w:pStyle w:val="ListBullet"/>
        <w:spacing w:after="60"/>
      </w:pPr>
      <w:r>
        <w:rPr>
          <w:rFonts w:ascii="Arial" w:hAnsi="Arial"/>
          <w:sz w:val="21"/>
        </w:rPr>
        <w:t>Observability: logs, traces, reasoning summaries and evidence for later review.</w:t>
      </w:r>
    </w:p>
    <w:p>
      <w:pPr>
        <w:pStyle w:val="ListBullet"/>
        <w:spacing w:after="60"/>
      </w:pPr>
      <w:r>
        <w:rPr>
          <w:rFonts w:ascii="Arial" w:hAnsi="Arial"/>
          <w:sz w:val="21"/>
        </w:rPr>
        <w:t>Human handoff: clear points where a person must review or approve.</w:t>
      </w:r>
    </w:p>
    <w:p>
      <w:pPr>
        <w:pStyle w:val="ListBullet"/>
        <w:spacing w:after="60"/>
      </w:pPr>
      <w:r>
        <w:rPr>
          <w:rFonts w:ascii="Arial" w:hAnsi="Arial"/>
          <w:sz w:val="21"/>
        </w:rPr>
        <w:t>Feedback loops: when the agent fails, improve the harness so the same failure is harder to repeat.</w:t>
      </w:r>
    </w:p>
    <w:p>
      <w:pPr>
        <w:pStyle w:val="Heading1"/>
      </w:pPr>
      <w:r>
        <w:t>Simple example: AI coding agent</w:t>
      </w:r>
    </w:p>
    <w:p>
      <w:pPr>
        <w:pStyle w:val="ListBullet"/>
        <w:spacing w:after="60"/>
      </w:pPr>
      <w:r>
        <w:rPr>
          <w:rFonts w:ascii="Arial" w:hAnsi="Arial"/>
          <w:sz w:val="21"/>
        </w:rPr>
        <w:t>Without a harness: the agent searches broadly, may use outdated context, edits the wrong area, skips checks, and opens a PR with little evidence.</w:t>
      </w:r>
    </w:p>
    <w:p>
      <w:pPr>
        <w:pStyle w:val="ListBullet"/>
        <w:spacing w:after="60"/>
      </w:pPr>
      <w:r>
        <w:rPr>
          <w:rFonts w:ascii="Arial" w:hAnsi="Arial"/>
          <w:sz w:val="21"/>
        </w:rPr>
        <w:t>With a harness: the agent receives the issue, owning component, coding standards and approved files; build, tests, lint and security checks must pass; the PR includes assumptions, evidence and a human approval gate.</w:t>
      </w:r>
    </w:p>
    <w:p>
      <w:pPr>
        <w:pStyle w:val="ListBullet"/>
        <w:spacing w:after="60"/>
      </w:pPr>
      <w:r>
        <w:rPr>
          <w:rFonts w:ascii="Arial" w:hAnsi="Arial"/>
          <w:sz w:val="21"/>
        </w:rPr>
        <w:t>The model may be the same. The outcome is different because the system around the model is different.</w:t>
      </w:r>
    </w:p>
    <w:p>
      <w:pPr>
        <w:pStyle w:val="Heading1"/>
      </w:pPr>
      <w:r>
        <w:t>What does lint mean?</w:t>
      </w:r>
    </w:p>
    <w:p>
      <w:r>
        <w:t>Lint is an automated code quality check. A linter reads source code and flags issues such as style violations, unused imports, suspicious patterns, possible bugs or security concerns. It usually does this before the code is run or merged. In a harness, lint is one of the guardrails that stops weak or risky agent-generated code from moving forward unchecked.</w:t>
      </w:r>
    </w:p>
    <w:p>
      <w:pPr>
        <w:pStyle w:val="Heading1"/>
      </w:pPr>
      <w:r>
        <w:t>Takeaway</w:t>
      </w:r>
    </w:p>
    <w:tbl>
      <w:tblPr>
        <w:tblW w:type="auto" w:w="0"/>
        <w:jc w:val="center"/>
        <w:tblLook w:firstColumn="1" w:firstRow="1" w:lastColumn="0" w:lastRow="0" w:noHBand="0" w:noVBand="1" w:val="04A0"/>
      </w:tblPr>
      <w:tblGrid>
        <w:gridCol w:w="10368"/>
      </w:tblGrid>
      <w:tr>
        <w:tc>
          <w:tcPr>
            <w:tcW w:type="dxa" w:w="10368"/>
            <w:shd w:fill="EAF4FA"/>
            <w:tcBorders>
              <w:top w:val="single" w:sz="8" w:space="0" w:color="D9D9D9"/>
              <w:left w:val="single" w:sz="8" w:space="0" w:color="D9D9D9"/>
              <w:bottom w:val="single" w:sz="8" w:space="0" w:color="D9D9D9"/>
              <w:right w:val="single" w:sz="8" w:space="0" w:color="D9D9D9"/>
            </w:tcBorders>
            <w:vAlign w:val="center"/>
          </w:tcPr>
          <w:p>
            <w:pPr>
              <w:spacing w:before="100" w:after="100"/>
              <w:jc w:val="center"/>
            </w:pPr>
            <w:r>
              <w:rPr>
                <w:rFonts w:ascii="Arial" w:hAnsi="Arial"/>
                <w:b/>
                <w:color w:val="0B6A94"/>
                <w:sz w:val="24"/>
              </w:rPr>
              <w:t>Harness Engineering does not replace developer judgement. It protects it, focuses it, and makes the agent’s work inspectable.</w:t>
            </w:r>
          </w:p>
        </w:tc>
      </w:tr>
    </w:tbl>
    <w:p>
      <w:pPr>
        <w:spacing w:after="40"/>
      </w:pPr>
    </w:p>
    <w:p/>
    <w:p>
      <w:pPr>
        <w:pStyle w:val="Heading3"/>
      </w:pPr>
      <w:r>
        <w:t>Sources used</w:t>
      </w:r>
    </w:p>
    <w:p>
      <w:pPr>
        <w:pStyle w:val="ListBullet"/>
        <w:spacing w:after="20"/>
      </w:pPr>
      <w:r>
        <w:rPr>
          <w:color w:val="555555"/>
          <w:sz w:val="17"/>
        </w:rPr>
        <w:t>OpenAI, “Harness engineering: leveraging Codex in an agent-first world”, 11 Feb 2026.</w:t>
      </w:r>
    </w:p>
    <w:p>
      <w:pPr>
        <w:pStyle w:val="ListBullet"/>
        <w:spacing w:after="20"/>
      </w:pPr>
      <w:r>
        <w:rPr>
          <w:color w:val="555555"/>
          <w:sz w:val="17"/>
        </w:rPr>
        <w:t>Martin Fowler / Thoughtworks, “Harness engineering for coding agent users”.</w:t>
      </w:r>
    </w:p>
    <w:p>
      <w:pPr>
        <w:pStyle w:val="ListBullet"/>
        <w:spacing w:after="20"/>
      </w:pPr>
      <w:r>
        <w:rPr>
          <w:color w:val="555555"/>
          <w:sz w:val="17"/>
        </w:rPr>
        <w:t>SonarSource, “What is a Linter?” for the plain-language lint explanation.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6A9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6A9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